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1E122" w14:textId="57EC82CE" w:rsidR="00A743AE" w:rsidRPr="00F809B3" w:rsidRDefault="00621F3D" w:rsidP="00A743AE">
      <w:pPr>
        <w:rPr>
          <w:rStyle w:val="TtuloCar"/>
          <w:lang w:val="es-AR"/>
        </w:rPr>
      </w:pPr>
      <w:r w:rsidRPr="002B514C">
        <w:rPr>
          <w:sz w:val="28"/>
          <w:szCs w:val="28"/>
          <w:lang w:val="es-AR"/>
        </w:rPr>
        <w:t xml:space="preserve">NOTA DE PRENSA 2/2026 – UATA (Unión </w:t>
      </w:r>
      <w:proofErr w:type="spellStart"/>
      <w:r w:rsidRPr="002B514C">
        <w:rPr>
          <w:sz w:val="28"/>
          <w:szCs w:val="28"/>
          <w:lang w:val="es-AR"/>
        </w:rPr>
        <w:t>Antitabáquica</w:t>
      </w:r>
      <w:proofErr w:type="spellEnd"/>
      <w:r w:rsidRPr="002B514C">
        <w:rPr>
          <w:sz w:val="28"/>
          <w:szCs w:val="28"/>
          <w:lang w:val="es-AR"/>
        </w:rPr>
        <w:t xml:space="preserve"> Argentina)</w:t>
      </w:r>
      <w:r w:rsidRPr="002B514C">
        <w:rPr>
          <w:sz w:val="28"/>
          <w:szCs w:val="28"/>
          <w:lang w:val="es-AR"/>
        </w:rPr>
        <w:br/>
      </w:r>
      <w:r w:rsidRPr="00F809B3">
        <w:rPr>
          <w:rStyle w:val="TtuloCar"/>
          <w:lang w:val="es-AR"/>
        </w:rPr>
        <w:t>Bolsitas de nicotina en los kioscos: ¿golosina o veneno?</w:t>
      </w:r>
    </w:p>
    <w:p w14:paraId="16855ACC" w14:textId="44E9339F" w:rsidR="00FC507F" w:rsidRPr="002B514C" w:rsidRDefault="00EA4903" w:rsidP="008822B4">
      <w:pPr>
        <w:jc w:val="right"/>
        <w:rPr>
          <w:b/>
          <w:bCs/>
          <w:i/>
          <w:iCs/>
          <w:sz w:val="28"/>
          <w:szCs w:val="28"/>
          <w:lang w:val="es-AR"/>
        </w:rPr>
      </w:pPr>
      <w:r w:rsidRPr="002B514C">
        <w:rPr>
          <w:sz w:val="28"/>
          <w:szCs w:val="28"/>
          <w:lang w:val="es-AR"/>
        </w:rPr>
        <w:t xml:space="preserve">Buenos Aires, </w:t>
      </w:r>
      <w:r w:rsidR="00DC5618">
        <w:rPr>
          <w:sz w:val="28"/>
          <w:szCs w:val="28"/>
          <w:lang w:val="es-AR"/>
        </w:rPr>
        <w:t xml:space="preserve">28 de </w:t>
      </w:r>
      <w:r w:rsidRPr="002B514C">
        <w:rPr>
          <w:sz w:val="28"/>
          <w:szCs w:val="28"/>
          <w:lang w:val="es-AR"/>
        </w:rPr>
        <w:t>enero de 2026</w:t>
      </w:r>
    </w:p>
    <w:p w14:paraId="1F36FF02" w14:textId="02826333" w:rsidR="00956CDA" w:rsidRPr="00FC0867" w:rsidRDefault="00EA4903" w:rsidP="007D2879">
      <w:pPr>
        <w:jc w:val="both"/>
        <w:rPr>
          <w:sz w:val="28"/>
          <w:szCs w:val="28"/>
          <w:lang w:val="es-AR"/>
        </w:rPr>
      </w:pPr>
      <w:r w:rsidRPr="00FC0867">
        <w:rPr>
          <w:sz w:val="28"/>
          <w:szCs w:val="28"/>
          <w:lang w:val="es-AR"/>
        </w:rPr>
        <w:t xml:space="preserve">La Unión </w:t>
      </w:r>
      <w:proofErr w:type="spellStart"/>
      <w:r w:rsidRPr="00FC0867">
        <w:rPr>
          <w:sz w:val="28"/>
          <w:szCs w:val="28"/>
          <w:lang w:val="es-AR"/>
        </w:rPr>
        <w:t>Antitabáquica</w:t>
      </w:r>
      <w:proofErr w:type="spellEnd"/>
      <w:r w:rsidRPr="00FC0867">
        <w:rPr>
          <w:sz w:val="28"/>
          <w:szCs w:val="28"/>
          <w:lang w:val="es-AR"/>
        </w:rPr>
        <w:t xml:space="preserve"> Argentina (UATA) advierte sobre la reciente oferta y promoción de “bolsitas” o </w:t>
      </w:r>
      <w:proofErr w:type="spellStart"/>
      <w:r w:rsidRPr="00FC0867">
        <w:rPr>
          <w:sz w:val="28"/>
          <w:szCs w:val="28"/>
          <w:lang w:val="es-AR"/>
        </w:rPr>
        <w:t>pouches</w:t>
      </w:r>
      <w:proofErr w:type="spellEnd"/>
      <w:r w:rsidRPr="00FC0867">
        <w:rPr>
          <w:sz w:val="28"/>
          <w:szCs w:val="28"/>
          <w:lang w:val="es-AR"/>
        </w:rPr>
        <w:t xml:space="preserve"> de nicotina que se venden en kioscos de CABA y Provincia de Buenos Aires junto a caramelos y golosinas, y su </w:t>
      </w:r>
      <w:r w:rsidRPr="00FC0867">
        <w:rPr>
          <w:b/>
          <w:bCs/>
          <w:sz w:val="28"/>
          <w:szCs w:val="28"/>
          <w:lang w:val="es-AR"/>
        </w:rPr>
        <w:t>potencial riesgo de adicción y de intoxicación aguda en niños, niñas y adolescentes</w:t>
      </w:r>
      <w:r w:rsidRPr="00FC0867">
        <w:rPr>
          <w:sz w:val="28"/>
          <w:szCs w:val="28"/>
          <w:lang w:val="es-AR"/>
        </w:rPr>
        <w:t xml:space="preserve"> (</w:t>
      </w:r>
      <w:proofErr w:type="spellStart"/>
      <w:r w:rsidRPr="00FC0867">
        <w:rPr>
          <w:sz w:val="28"/>
          <w:szCs w:val="28"/>
          <w:lang w:val="es-AR"/>
        </w:rPr>
        <w:t>NNyA</w:t>
      </w:r>
      <w:proofErr w:type="spellEnd"/>
      <w:r w:rsidRPr="00FC0867">
        <w:rPr>
          <w:sz w:val="28"/>
          <w:szCs w:val="28"/>
          <w:lang w:val="es-AR"/>
        </w:rPr>
        <w:t>).</w:t>
      </w:r>
    </w:p>
    <w:p w14:paraId="40FBD1B1" w14:textId="25D02A1A" w:rsidR="00956CDA" w:rsidRPr="00956CDA" w:rsidRDefault="00956CDA" w:rsidP="007D2879">
      <w:pPr>
        <w:pStyle w:val="Ttulo1"/>
        <w:jc w:val="both"/>
        <w:rPr>
          <w:lang w:val="es-AR"/>
        </w:rPr>
      </w:pPr>
      <w:r w:rsidRPr="00F809B3">
        <w:rPr>
          <w:lang w:val="es-AR"/>
        </w:rPr>
        <w:t>Nicotina: Una droga que produce dependencia</w:t>
      </w:r>
    </w:p>
    <w:p w14:paraId="3A7C3965" w14:textId="201B3413" w:rsidR="00BD5965" w:rsidRDefault="00F5589B" w:rsidP="007D2879">
      <w:pPr>
        <w:jc w:val="both"/>
        <w:rPr>
          <w:lang w:val="es-AR"/>
        </w:rPr>
      </w:pPr>
      <w:r w:rsidRPr="00F809B3">
        <w:rPr>
          <w:lang w:val="es-AR"/>
        </w:rPr>
        <w:t>Es bien conocido el efecto adictivo de la nicotina, algo que la industria del tabaco ocultó durante décadas. Ya en los años 60, documentos internos y posteriores investigaciones mostraron que las compañías conocían el potencial adictivo</w:t>
      </w:r>
      <w:r w:rsidR="00BD5965">
        <w:rPr>
          <w:rStyle w:val="Refdenotaalfinal"/>
          <w:lang w:val="es-AR"/>
        </w:rPr>
        <w:endnoteReference w:id="1"/>
      </w:r>
      <w:r w:rsidR="00BD5965" w:rsidRPr="00E82DDC">
        <w:rPr>
          <w:lang w:val="es-AR"/>
        </w:rPr>
        <w:t xml:space="preserve"> </w:t>
      </w:r>
      <w:r w:rsidR="00BD5965" w:rsidRPr="00F809B3">
        <w:rPr>
          <w:lang w:val="es-AR"/>
        </w:rPr>
        <w:t xml:space="preserve"> y abordaban el cigarrillo como un sistema de administración de nicotina.</w:t>
      </w:r>
      <w:r w:rsidR="00BD5965" w:rsidRPr="007F62FE">
        <w:rPr>
          <w:vertAlign w:val="superscript"/>
          <w:lang w:val="es-AR"/>
        </w:rPr>
        <w:t xml:space="preserve"> </w:t>
      </w:r>
      <w:r w:rsidR="00BD5965" w:rsidRPr="007F62FE">
        <w:rPr>
          <w:vertAlign w:val="superscript"/>
          <w:lang w:val="es-AR"/>
        </w:rPr>
        <w:endnoteReference w:id="2"/>
      </w:r>
      <w:r w:rsidR="00BD5965" w:rsidRPr="007F62FE">
        <w:rPr>
          <w:lang w:val="es-AR"/>
        </w:rPr>
        <w:t xml:space="preserve"> </w:t>
      </w:r>
      <w:r w:rsidR="00BD5965" w:rsidRPr="00BA4C9E">
        <w:rPr>
          <w:rStyle w:val="Refdenotaalfinal"/>
          <w:lang w:val="es-AR"/>
        </w:rPr>
        <w:t xml:space="preserve"> </w:t>
      </w:r>
      <w:r w:rsidR="00BD5965" w:rsidRPr="00F809B3">
        <w:rPr>
          <w:lang w:val="es-AR"/>
        </w:rPr>
        <w:t xml:space="preserve"> Sin embargo, en 1994, ejecutivos de grandes tabacaleras declararon bajo juramento ante el Congreso de Estados Unidos que no creían que la nicotina fuera adictiva. Más tarde, litigios y hallazgos judiciales en EE. UU. documentaron prácticas de diseño orientadas a sostener la dependencia, incluyendo la optimización de la entrega de nicotina (por ejemplo, acelerando el “impacto” mediante modificaciones del pH del humo con compuestos amoniacales).</w:t>
      </w:r>
      <w:r w:rsidR="00BD5965" w:rsidRPr="00F93C60">
        <w:rPr>
          <w:rStyle w:val="Refdenotaalfinal"/>
          <w:lang w:val="es-AR"/>
        </w:rPr>
        <w:t xml:space="preserve"> </w:t>
      </w:r>
      <w:r w:rsidR="00BD5965">
        <w:rPr>
          <w:rStyle w:val="Refdenotaalfinal"/>
          <w:lang w:val="es-AR"/>
        </w:rPr>
        <w:endnoteReference w:id="3"/>
      </w:r>
      <w:r w:rsidR="00BD5965" w:rsidRPr="00E82DDC">
        <w:rPr>
          <w:lang w:val="es-AR"/>
        </w:rPr>
        <w:t xml:space="preserve"> </w:t>
      </w:r>
      <w:r w:rsidR="00BD5965" w:rsidRPr="005A6BB7">
        <w:rPr>
          <w:vertAlign w:val="superscript"/>
          <w:lang w:val="es-AR"/>
        </w:rPr>
        <w:t xml:space="preserve"> </w:t>
      </w:r>
      <w:r w:rsidR="00BD5965" w:rsidRPr="005A6BB7">
        <w:rPr>
          <w:vertAlign w:val="superscript"/>
          <w:lang w:val="es-AR"/>
        </w:rPr>
        <w:endnoteReference w:id="4"/>
      </w:r>
      <w:r w:rsidR="00BD5965" w:rsidRPr="005A6BB7">
        <w:rPr>
          <w:lang w:val="es-AR"/>
        </w:rPr>
        <w:t xml:space="preserve"> </w:t>
      </w:r>
      <w:r w:rsidR="00BD5965" w:rsidRPr="00F809B3">
        <w:rPr>
          <w:lang w:val="es-AR"/>
        </w:rPr>
        <w:t xml:space="preserve"> En síntesis: </w:t>
      </w:r>
      <w:r w:rsidR="00BD5965" w:rsidRPr="00442E78">
        <w:rPr>
          <w:b/>
          <w:bCs/>
          <w:lang w:val="es-AR"/>
        </w:rPr>
        <w:t>pueden cambiar el vehículo (tabaco) sin abandonar el negocio central —la nicotina—, la droga que mantiene cautivos a millones de personas</w:t>
      </w:r>
      <w:r w:rsidR="00BD5965" w:rsidRPr="00F809B3">
        <w:rPr>
          <w:lang w:val="es-AR"/>
        </w:rPr>
        <w:t>.</w:t>
      </w:r>
    </w:p>
    <w:p w14:paraId="50F01BD1" w14:textId="41FBA6AE" w:rsidR="00BD5965" w:rsidRPr="00EA4903" w:rsidRDefault="00BD5965" w:rsidP="007D2879">
      <w:pPr>
        <w:jc w:val="both"/>
        <w:rPr>
          <w:lang w:val="es-AR"/>
        </w:rPr>
      </w:pPr>
      <w:r w:rsidRPr="000020FA">
        <w:rPr>
          <w:lang w:val="es-AR"/>
        </w:rPr>
        <w:t xml:space="preserve">Decir que </w:t>
      </w:r>
      <w:r w:rsidRPr="000020FA">
        <w:rPr>
          <w:i/>
          <w:iCs/>
          <w:lang w:val="es-AR"/>
        </w:rPr>
        <w:t>“la nicotina es adictiva”</w:t>
      </w:r>
      <w:r w:rsidRPr="000020FA">
        <w:rPr>
          <w:lang w:val="es-AR"/>
        </w:rPr>
        <w:t xml:space="preserve"> (como aparece en las etiquetas de algunos productos) no alcanza para dimensionar la gravedad del problema. </w:t>
      </w:r>
      <w:r w:rsidRPr="00F809B3">
        <w:rPr>
          <w:lang w:val="es-AR"/>
        </w:rPr>
        <w:t>La nicotina muestra una gran similitud con otras drogas adictivas desde el punto de vista molecular, neuroanatómico y farmacológico.</w:t>
      </w:r>
      <w:r w:rsidRPr="000849CB">
        <w:rPr>
          <w:vertAlign w:val="superscript"/>
          <w:lang w:val="es-AR"/>
        </w:rPr>
        <w:t xml:space="preserve"> </w:t>
      </w:r>
      <w:r w:rsidRPr="000849CB">
        <w:rPr>
          <w:vertAlign w:val="superscript"/>
          <w:lang w:val="es-AR"/>
        </w:rPr>
        <w:endnoteReference w:id="5"/>
      </w:r>
      <w:r w:rsidRPr="000849CB">
        <w:rPr>
          <w:lang w:val="es-AR"/>
        </w:rPr>
        <w:t xml:space="preserve"> </w:t>
      </w:r>
      <w:r w:rsidRPr="00F809B3">
        <w:rPr>
          <w:lang w:val="es-AR"/>
        </w:rPr>
        <w:t>Los consumidores de nicotina la requieren regularmente no sólo para experimentar estimulación, sino también para evitar los efectos de la abstinencia, que incluyen irritabilidad, ansiedad, inquietud, impaciencia, aumento del apetito, etc.</w:t>
      </w:r>
      <w:r>
        <w:rPr>
          <w:lang w:val="es-AR"/>
        </w:rPr>
        <w:t xml:space="preserve"> </w:t>
      </w:r>
      <w:r w:rsidRPr="000F0C5C">
        <w:rPr>
          <w:lang w:val="es-AR"/>
        </w:rPr>
        <w:t>Cuando el organismo se acostumbra a la nicotina desarrolla tolerancia, lo que significa que </w:t>
      </w:r>
      <w:r w:rsidRPr="000F0C5C">
        <w:rPr>
          <w:b/>
          <w:bCs/>
          <w:lang w:val="es-AR"/>
        </w:rPr>
        <w:t>requiere dosis cada vez mayores</w:t>
      </w:r>
      <w:r w:rsidRPr="000F0C5C">
        <w:rPr>
          <w:lang w:val="es-AR"/>
        </w:rPr>
        <w:t xml:space="preserve"> para obtener los mismos efectos placenteros o para evitar el malestar de la abstinencia.</w:t>
      </w:r>
      <w:r w:rsidRPr="000F0C5C">
        <w:rPr>
          <w:vertAlign w:val="superscript"/>
          <w:lang w:val="es-AR"/>
        </w:rPr>
        <w:endnoteReference w:id="6"/>
      </w:r>
    </w:p>
    <w:p w14:paraId="58CC9210" w14:textId="6C7FE3BB" w:rsidR="00BD5965" w:rsidRPr="00EA4903" w:rsidRDefault="00BD5965" w:rsidP="007D2879">
      <w:pPr>
        <w:pStyle w:val="Ttulo1"/>
        <w:jc w:val="both"/>
        <w:rPr>
          <w:lang w:val="es-AR"/>
        </w:rPr>
      </w:pPr>
      <w:r w:rsidRPr="00F809B3">
        <w:rPr>
          <w:lang w:val="es-AR"/>
        </w:rPr>
        <w:lastRenderedPageBreak/>
        <w:t>Nicotina de uso oral: ¿Una golosina?</w:t>
      </w:r>
    </w:p>
    <w:p w14:paraId="6F37D1EE" w14:textId="219C0264" w:rsidR="00BD5965" w:rsidRDefault="00BD5965" w:rsidP="007D2879">
      <w:pPr>
        <w:jc w:val="both"/>
        <w:rPr>
          <w:lang w:val="es-AR"/>
        </w:rPr>
      </w:pPr>
      <w:r w:rsidRPr="00F809B3">
        <w:rPr>
          <w:lang w:val="es-AR"/>
        </w:rPr>
        <w:t>La nicotina no es un alimento, no es un nutriente ni un aditivo alimentario. No está contemplada en el Código Alimentario Argentino, ni corresponde que lo esté: se trata de una sustancia altamente tóxica</w:t>
      </w:r>
      <w:r w:rsidRPr="009459CC">
        <w:rPr>
          <w:b/>
          <w:bCs/>
          <w:lang w:val="es-AR"/>
        </w:rPr>
        <w:t>. En toxicología se la describe como “veneno”</w:t>
      </w:r>
      <w:r w:rsidRPr="00F809B3">
        <w:rPr>
          <w:lang w:val="es-AR"/>
        </w:rPr>
        <w:t xml:space="preserve"> en sentido técnico y se destaca su toxicidad aguda, documentada en incidentes y series de casos.</w:t>
      </w:r>
      <w:r w:rsidRPr="00A9429F">
        <w:rPr>
          <w:vertAlign w:val="superscript"/>
          <w:lang w:val="es-AR"/>
        </w:rPr>
        <w:t xml:space="preserve"> </w:t>
      </w:r>
      <w:r w:rsidRPr="00A9429F">
        <w:rPr>
          <w:vertAlign w:val="superscript"/>
          <w:lang w:val="es-AR"/>
        </w:rPr>
        <w:endnoteReference w:id="7"/>
      </w:r>
    </w:p>
    <w:p w14:paraId="27D65130" w14:textId="77777777" w:rsidR="00FB6223" w:rsidRDefault="00BD5965" w:rsidP="007D2879">
      <w:pPr>
        <w:jc w:val="both"/>
        <w:rPr>
          <w:vertAlign w:val="superscript"/>
          <w:lang w:val="es-AR"/>
        </w:rPr>
      </w:pPr>
      <w:r w:rsidRPr="00F809B3">
        <w:rPr>
          <w:lang w:val="es-AR"/>
        </w:rPr>
        <w:t>La nicotina es 95 % soluble en agua y atraviesa fácilmente todas las membranas del cuerpo, incluyendo la piel y la cavidad oral. La dosis hace al veneno: La nicotina es un tóxico agudo sistémico capaz de provocar desde náuseas y taquicardia en bajas concentraciones hasta insuficiencia respiratoria, convulsiones, coma y colapso cardiovascular en concentraciones elevadas.</w:t>
      </w:r>
      <w:r w:rsidRPr="002D1BAA">
        <w:rPr>
          <w:vertAlign w:val="superscript"/>
          <w:lang w:val="es-AR"/>
        </w:rPr>
        <w:t xml:space="preserve"> </w:t>
      </w:r>
      <w:r w:rsidRPr="002D1BAA">
        <w:rPr>
          <w:vertAlign w:val="superscript"/>
          <w:lang w:val="es-AR"/>
        </w:rPr>
        <w:endnoteReference w:id="8"/>
      </w:r>
    </w:p>
    <w:p w14:paraId="3B0C43CF" w14:textId="63F56A0A" w:rsidR="00BD5965" w:rsidRPr="00EA4903" w:rsidRDefault="00BD5965" w:rsidP="007D2879">
      <w:pPr>
        <w:jc w:val="both"/>
        <w:rPr>
          <w:lang w:val="es-AR"/>
        </w:rPr>
      </w:pPr>
      <w:r w:rsidRPr="00F809B3">
        <w:rPr>
          <w:lang w:val="es-AR"/>
        </w:rPr>
        <w:t xml:space="preserve">En </w:t>
      </w:r>
      <w:r w:rsidRPr="00E770CB">
        <w:rPr>
          <w:b/>
          <w:bCs/>
          <w:lang w:val="es-AR"/>
        </w:rPr>
        <w:t>pediatría</w:t>
      </w:r>
      <w:r w:rsidRPr="00F809B3">
        <w:rPr>
          <w:lang w:val="es-AR"/>
        </w:rPr>
        <w:t xml:space="preserve"> el margen de seguridad es especialmente estrecho: </w:t>
      </w:r>
      <w:r w:rsidRPr="00E770CB">
        <w:rPr>
          <w:b/>
          <w:bCs/>
          <w:lang w:val="es-AR"/>
        </w:rPr>
        <w:t>pequeñas dosis pueden causar síntomas, incluso la muerte, y no existe un antídoto específico</w:t>
      </w:r>
      <w:r w:rsidRPr="00F809B3">
        <w:rPr>
          <w:lang w:val="es-AR"/>
        </w:rPr>
        <w:t xml:space="preserve"> universalmente aceptado (el manejo es de soporte).</w:t>
      </w:r>
      <w:r w:rsidRPr="00B63D65">
        <w:rPr>
          <w:vertAlign w:val="superscript"/>
          <w:lang w:val="es-AR"/>
        </w:rPr>
        <w:t xml:space="preserve"> </w:t>
      </w:r>
      <w:r w:rsidRPr="00B63D65">
        <w:rPr>
          <w:vertAlign w:val="superscript"/>
          <w:lang w:val="es-AR"/>
        </w:rPr>
        <w:endnoteReference w:id="9"/>
      </w:r>
      <w:r w:rsidRPr="00B63D65">
        <w:rPr>
          <w:lang w:val="es-AR"/>
        </w:rPr>
        <w:t xml:space="preserve">  </w:t>
      </w:r>
      <w:r w:rsidRPr="00B63D65">
        <w:rPr>
          <w:vertAlign w:val="superscript"/>
          <w:lang w:val="es-AR"/>
        </w:rPr>
        <w:endnoteReference w:id="10"/>
      </w:r>
      <w:r w:rsidRPr="00B63D65">
        <w:rPr>
          <w:lang w:val="es-AR"/>
        </w:rPr>
        <w:t xml:space="preserve">  </w:t>
      </w:r>
      <w:r w:rsidRPr="00B63D65">
        <w:rPr>
          <w:vertAlign w:val="superscript"/>
          <w:lang w:val="es-AR"/>
        </w:rPr>
        <w:endnoteReference w:id="11"/>
      </w:r>
      <w:r w:rsidRPr="00B63D65">
        <w:rPr>
          <w:lang w:val="es-AR"/>
        </w:rPr>
        <w:t xml:space="preserve">  </w:t>
      </w:r>
      <w:r w:rsidRPr="00B63D65">
        <w:rPr>
          <w:vertAlign w:val="superscript"/>
          <w:lang w:val="es-AR"/>
        </w:rPr>
        <w:endnoteReference w:id="12"/>
      </w:r>
      <w:r w:rsidRPr="00B63D65">
        <w:rPr>
          <w:lang w:val="es-AR"/>
        </w:rPr>
        <w:t xml:space="preserve">  </w:t>
      </w:r>
      <w:r w:rsidRPr="00B63D65">
        <w:rPr>
          <w:vertAlign w:val="superscript"/>
          <w:lang w:val="es-AR"/>
        </w:rPr>
        <w:endnoteReference w:id="13"/>
      </w:r>
      <w:r w:rsidRPr="00F809B3">
        <w:rPr>
          <w:lang w:val="es-AR"/>
        </w:rPr>
        <w:t xml:space="preserve"> </w:t>
      </w:r>
      <w:r w:rsidRPr="008A292F">
        <w:rPr>
          <w:vertAlign w:val="superscript"/>
          <w:lang w:val="es-AR"/>
        </w:rPr>
        <w:endnoteReference w:id="14"/>
      </w:r>
    </w:p>
    <w:p w14:paraId="6092276D" w14:textId="51E47361" w:rsidR="00BD5965" w:rsidRPr="00EA4903" w:rsidRDefault="00BD5965" w:rsidP="007D2879">
      <w:pPr>
        <w:jc w:val="both"/>
        <w:rPr>
          <w:lang w:val="es-AR"/>
        </w:rPr>
      </w:pPr>
      <w:r w:rsidRPr="00F809B3">
        <w:rPr>
          <w:lang w:val="es-AR"/>
        </w:rPr>
        <w:t xml:space="preserve">A nivel de salud ocupacional, el propio NIOSH/CDC clasifica a la nicotina dentro del marco de sustancias con riesgo severo: fija límites laborales con indicación </w:t>
      </w:r>
      <w:r w:rsidR="00E770CB">
        <w:rPr>
          <w:lang w:val="es-AR"/>
        </w:rPr>
        <w:t xml:space="preserve">de </w:t>
      </w:r>
      <w:r w:rsidRPr="00F809B3">
        <w:rPr>
          <w:lang w:val="es-AR"/>
        </w:rPr>
        <w:t>absorción cutánea relevante y establece una concentración IDLH (inmediatamente peligrosa para la vida o la salud).</w:t>
      </w:r>
      <w:r w:rsidRPr="00345BC6">
        <w:rPr>
          <w:vertAlign w:val="superscript"/>
          <w:lang w:val="es-AR"/>
        </w:rPr>
        <w:t xml:space="preserve"> </w:t>
      </w:r>
      <w:r w:rsidRPr="00345BC6">
        <w:rPr>
          <w:vertAlign w:val="superscript"/>
          <w:lang w:val="es-AR"/>
        </w:rPr>
        <w:endnoteReference w:id="15"/>
      </w:r>
    </w:p>
    <w:p w14:paraId="61FF6885" w14:textId="3A53E112" w:rsidR="00BD5965" w:rsidRPr="00EA4903" w:rsidRDefault="00BD5965" w:rsidP="007D2879">
      <w:pPr>
        <w:pStyle w:val="Ttulo1"/>
        <w:jc w:val="both"/>
        <w:rPr>
          <w:lang w:val="es-AR"/>
        </w:rPr>
      </w:pPr>
      <w:r w:rsidRPr="00F809B3">
        <w:rPr>
          <w:lang w:val="es-AR"/>
        </w:rPr>
        <w:t>De pesticida a golosina</w:t>
      </w:r>
    </w:p>
    <w:p w14:paraId="1E59B40C" w14:textId="79034C36" w:rsidR="00BD5965" w:rsidRPr="00EA4903" w:rsidRDefault="00BD5965" w:rsidP="007D2879">
      <w:pPr>
        <w:jc w:val="both"/>
        <w:rPr>
          <w:lang w:val="es-AR"/>
        </w:rPr>
      </w:pPr>
      <w:r w:rsidRPr="00F809B3">
        <w:rPr>
          <w:lang w:val="es-AR"/>
        </w:rPr>
        <w:t xml:space="preserve">Históricamente, la nicotina se utilizó como insecticida, y en EE. UU. se avanzó en la cancelación del </w:t>
      </w:r>
      <w:r w:rsidRPr="00FC128F">
        <w:rPr>
          <w:b/>
          <w:bCs/>
          <w:lang w:val="es-AR"/>
        </w:rPr>
        <w:t>último producto pesticida con nicotina</w:t>
      </w:r>
      <w:r w:rsidRPr="00F809B3">
        <w:rPr>
          <w:lang w:val="es-AR"/>
        </w:rPr>
        <w:t xml:space="preserve"> mediante orden federal.</w:t>
      </w:r>
      <w:r>
        <w:rPr>
          <w:rStyle w:val="Refdenotaalfinal"/>
          <w:lang w:val="es-AR"/>
        </w:rPr>
        <w:endnoteReference w:id="16"/>
      </w:r>
      <w:r w:rsidRPr="00F809B3">
        <w:rPr>
          <w:lang w:val="es-AR"/>
        </w:rPr>
        <w:t xml:space="preserve"> A medida que las grandes tabacaleras internacionales cambian de los cigarrillos a la administración de nicotina mediante vaporizadores, bolsitas y productos solubles, </w:t>
      </w:r>
      <w:r w:rsidRPr="00DC5618">
        <w:rPr>
          <w:b/>
          <w:bCs/>
          <w:lang w:val="es-AR"/>
        </w:rPr>
        <w:t>se busca minimizar la percepción de los efectos tóxicos de la nicotina</w:t>
      </w:r>
      <w:r w:rsidRPr="00F809B3">
        <w:rPr>
          <w:lang w:val="es-AR"/>
        </w:rPr>
        <w:t>.</w:t>
      </w:r>
      <w:r w:rsidRPr="00DC6677">
        <w:rPr>
          <w:lang w:val="es-AR"/>
        </w:rPr>
        <w:t xml:space="preserve"> </w:t>
      </w:r>
      <w:r w:rsidRPr="00DC6677">
        <w:rPr>
          <w:vertAlign w:val="superscript"/>
          <w:lang w:val="es-AR"/>
        </w:rPr>
        <w:endnoteReference w:id="17"/>
      </w:r>
      <w:r w:rsidRPr="00F809B3">
        <w:rPr>
          <w:lang w:val="es-AR"/>
        </w:rPr>
        <w:t xml:space="preserve"> Dicho sin eufemismos: una sustancia con historia de uso como plaguicida hoy se está </w:t>
      </w:r>
      <w:proofErr w:type="spellStart"/>
      <w:r w:rsidRPr="00F809B3">
        <w:rPr>
          <w:lang w:val="es-AR"/>
        </w:rPr>
        <w:t>reempaquetando</w:t>
      </w:r>
      <w:proofErr w:type="spellEnd"/>
      <w:r w:rsidRPr="00F809B3">
        <w:rPr>
          <w:lang w:val="es-AR"/>
        </w:rPr>
        <w:t xml:space="preserve"> como producto “</w:t>
      </w:r>
      <w:proofErr w:type="spellStart"/>
      <w:r w:rsidRPr="00F809B3">
        <w:rPr>
          <w:lang w:val="es-AR"/>
        </w:rPr>
        <w:t>cool</w:t>
      </w:r>
      <w:proofErr w:type="spellEnd"/>
      <w:r w:rsidRPr="00F809B3">
        <w:rPr>
          <w:lang w:val="es-AR"/>
        </w:rPr>
        <w:t>”, saborizado y discreto, presentado con lógicas de consumo cotidiano.</w:t>
      </w:r>
    </w:p>
    <w:p w14:paraId="725D0241" w14:textId="4DCE661C" w:rsidR="00BD5965" w:rsidRPr="00EA4903" w:rsidRDefault="00BD5965" w:rsidP="007D2879">
      <w:pPr>
        <w:pStyle w:val="Ttulo1"/>
        <w:jc w:val="both"/>
        <w:rPr>
          <w:lang w:val="es-AR"/>
        </w:rPr>
      </w:pPr>
      <w:r w:rsidRPr="00F809B3">
        <w:rPr>
          <w:lang w:val="es-AR"/>
        </w:rPr>
        <w:t>¿Prevención o atracción de niños, niñas y adolescentes?</w:t>
      </w:r>
    </w:p>
    <w:p w14:paraId="752C65E8" w14:textId="28A4B69E" w:rsidR="00BD5965" w:rsidRDefault="00BD5965" w:rsidP="007D2879">
      <w:pPr>
        <w:jc w:val="both"/>
        <w:rPr>
          <w:lang w:val="es-AR"/>
        </w:rPr>
      </w:pPr>
      <w:r w:rsidRPr="00F809B3">
        <w:rPr>
          <w:lang w:val="es-AR"/>
        </w:rPr>
        <w:t xml:space="preserve">UATA alerta especialmente por el modo de promoción: sabores frutales y mentolados y formatos “amables” que funcionan como puerta de entrada. La evidencia señala que la diversidad de sabores es un factor clave asociado al atractivo y consumo en </w:t>
      </w:r>
      <w:proofErr w:type="spellStart"/>
      <w:r w:rsidRPr="00F809B3">
        <w:rPr>
          <w:lang w:val="es-AR"/>
        </w:rPr>
        <w:t>NNyA</w:t>
      </w:r>
      <w:proofErr w:type="spellEnd"/>
      <w:r w:rsidRPr="00F809B3">
        <w:rPr>
          <w:lang w:val="es-AR"/>
        </w:rPr>
        <w:t>.</w:t>
      </w:r>
      <w:r w:rsidRPr="00F809B3">
        <w:rPr>
          <w:lang w:val="es-AR"/>
        </w:rPr>
        <w:br/>
        <w:t xml:space="preserve">Y la típica frase </w:t>
      </w:r>
      <w:r w:rsidRPr="00E770CB">
        <w:rPr>
          <w:i/>
          <w:iCs/>
          <w:lang w:val="es-AR"/>
        </w:rPr>
        <w:t>“solo para adultos”, “este producto no es libre de riesgos”</w:t>
      </w:r>
      <w:r w:rsidRPr="00F809B3">
        <w:rPr>
          <w:lang w:val="es-AR"/>
        </w:rPr>
        <w:t xml:space="preserve"> no protege a nadie: </w:t>
      </w:r>
      <w:r w:rsidRPr="00E770CB">
        <w:rPr>
          <w:b/>
          <w:bCs/>
          <w:lang w:val="es-AR"/>
        </w:rPr>
        <w:t>para un/a adolescente suena más atractivo</w:t>
      </w:r>
      <w:r w:rsidRPr="00F809B3">
        <w:rPr>
          <w:lang w:val="es-AR"/>
        </w:rPr>
        <w:t>.</w:t>
      </w:r>
    </w:p>
    <w:p w14:paraId="21B5FA13" w14:textId="6156D4C6" w:rsidR="00BD5965" w:rsidRDefault="00BD5965" w:rsidP="007D2879">
      <w:pPr>
        <w:jc w:val="both"/>
        <w:rPr>
          <w:lang w:val="es-AR"/>
        </w:rPr>
      </w:pPr>
      <w:r w:rsidRPr="00DC5618">
        <w:rPr>
          <w:b/>
          <w:bCs/>
          <w:lang w:val="es-AR"/>
        </w:rPr>
        <w:lastRenderedPageBreak/>
        <w:t>La prohibición sin control no alcanza:</w:t>
      </w:r>
      <w:r w:rsidR="00DC5618">
        <w:rPr>
          <w:b/>
          <w:bCs/>
          <w:lang w:val="es-AR"/>
        </w:rPr>
        <w:t xml:space="preserve"> </w:t>
      </w:r>
      <w:r w:rsidRPr="00F809B3">
        <w:rPr>
          <w:lang w:val="es-AR"/>
        </w:rPr>
        <w:t xml:space="preserve">En Argentina, confiar en la venta “solo a mayores” es, en el mejor de los casos, un acto de fe. Según la Encuesta Mundial de Tabaquismo en Jóvenes (EMTJ/GYTS) 2018, entre jóvenes fumadores de 13 a 15 años, </w:t>
      </w:r>
      <w:r w:rsidRPr="00DC5618">
        <w:rPr>
          <w:b/>
          <w:bCs/>
          <w:lang w:val="es-AR"/>
        </w:rPr>
        <w:t>al 81,6% no se le negó la venta por su edad</w:t>
      </w:r>
      <w:r w:rsidRPr="00F809B3">
        <w:rPr>
          <w:lang w:val="es-AR"/>
        </w:rPr>
        <w:t>. Los cigarrillos electrónicos y sus líquidos peligrosos, prohibidos por ANMAT en 2011, de repente aparecieron en las góndolas, y también son reportadas por el 16</w:t>
      </w:r>
      <w:r>
        <w:rPr>
          <w:lang w:val="es-AR"/>
        </w:rPr>
        <w:t>,7</w:t>
      </w:r>
      <w:r w:rsidRPr="00F809B3">
        <w:rPr>
          <w:lang w:val="es-AR"/>
        </w:rPr>
        <w:t xml:space="preserve">% de los jóvenes que los usan actualmente, según el último informe de la Estudio Nacional en estudiantes de </w:t>
      </w:r>
      <w:proofErr w:type="spellStart"/>
      <w:r w:rsidRPr="00F809B3">
        <w:rPr>
          <w:lang w:val="es-AR"/>
        </w:rPr>
        <w:t>Sedronar</w:t>
      </w:r>
      <w:proofErr w:type="spellEnd"/>
      <w:r w:rsidRPr="00F809B3">
        <w:rPr>
          <w:lang w:val="es-AR"/>
        </w:rPr>
        <w:t xml:space="preserve"> (2025). </w:t>
      </w:r>
      <w:r w:rsidRPr="00396357">
        <w:rPr>
          <w:vertAlign w:val="superscript"/>
          <w:lang w:val="es-AR"/>
        </w:rPr>
        <w:endnoteReference w:id="18"/>
      </w:r>
    </w:p>
    <w:p w14:paraId="02D88130" w14:textId="76DBD859" w:rsidR="00BD5965" w:rsidRPr="00EA4903" w:rsidRDefault="00BD5965" w:rsidP="007D2879">
      <w:pPr>
        <w:pStyle w:val="Ttulo1"/>
        <w:jc w:val="both"/>
        <w:rPr>
          <w:lang w:val="es-AR"/>
        </w:rPr>
      </w:pPr>
      <w:r w:rsidRPr="00F809B3">
        <w:rPr>
          <w:lang w:val="es-AR"/>
        </w:rPr>
        <w:t>Nicotina en polvo o líquida, una amenaza global</w:t>
      </w:r>
    </w:p>
    <w:p w14:paraId="396B4155" w14:textId="4C25BF12" w:rsidR="00F42666" w:rsidRDefault="00BD5965" w:rsidP="007D2879">
      <w:pPr>
        <w:jc w:val="both"/>
        <w:rPr>
          <w:lang w:val="es-AR"/>
        </w:rPr>
      </w:pPr>
      <w:r w:rsidRPr="00F809B3">
        <w:rPr>
          <w:lang w:val="es-AR"/>
        </w:rPr>
        <w:t xml:space="preserve">En toxicología forense, la nicotina se describe sin eufemismos. </w:t>
      </w:r>
      <w:r w:rsidRPr="00360A4E">
        <w:rPr>
          <w:lang w:val="es-AR"/>
        </w:rPr>
        <w:t xml:space="preserve">Una revisión reciente afirma: </w:t>
      </w:r>
      <w:r w:rsidRPr="00360A4E">
        <w:rPr>
          <w:i/>
          <w:iCs/>
          <w:lang w:val="es-AR"/>
        </w:rPr>
        <w:t>“La nicotina, que se encuentra en el tabaco, es uno de los venenos más tóxicos conocidos”.</w:t>
      </w:r>
      <w:r w:rsidRPr="00360A4E">
        <w:rPr>
          <w:lang w:val="es-AR"/>
        </w:rPr>
        <w:t xml:space="preserve"> </w:t>
      </w:r>
      <w:r w:rsidRPr="007C51B4">
        <w:rPr>
          <w:lang w:val="es-AR"/>
        </w:rPr>
        <w:t>(Miyauchi M et al., citado por Wigmore, 2025)</w:t>
      </w:r>
      <w:r>
        <w:rPr>
          <w:lang w:val="es-AR"/>
        </w:rPr>
        <w:t xml:space="preserve">. </w:t>
      </w:r>
      <w:r w:rsidRPr="00AF6410">
        <w:rPr>
          <w:vertAlign w:val="superscript"/>
          <w:lang w:val="es-AR"/>
        </w:rPr>
        <w:endnoteReference w:id="19"/>
      </w:r>
      <w:r w:rsidRPr="007C51B4">
        <w:rPr>
          <w:lang w:val="es-AR"/>
        </w:rPr>
        <w:t xml:space="preserve"> </w:t>
      </w:r>
      <w:r w:rsidR="00F42666" w:rsidRPr="00F809B3">
        <w:rPr>
          <w:lang w:val="es-AR"/>
        </w:rPr>
        <w:t xml:space="preserve">En ese mismo trabajo, el toxicólogo forense James G. Wigmore advierte que, pese a esa toxicidad, se fabrican millones de botellas de e‑líquidos con alto contenido de nicotina —frecuentemente saborizados— con advertencias insuficientes y sin envases a prueba de niños; y agregamos nosotros: </w:t>
      </w:r>
      <w:r w:rsidR="00F42666" w:rsidRPr="00DC5618">
        <w:rPr>
          <w:b/>
          <w:bCs/>
          <w:lang w:val="es-AR"/>
        </w:rPr>
        <w:t>tampoco los envases de bolsitas son seguros para los niños</w:t>
      </w:r>
      <w:r w:rsidR="00F42666" w:rsidRPr="00F809B3">
        <w:rPr>
          <w:lang w:val="es-AR"/>
        </w:rPr>
        <w:t>.</w:t>
      </w:r>
    </w:p>
    <w:p w14:paraId="73D9E31A" w14:textId="35F9111E" w:rsidR="00EA4903" w:rsidRPr="00EA4903" w:rsidRDefault="00F42666" w:rsidP="007D2879">
      <w:pPr>
        <w:jc w:val="both"/>
        <w:rPr>
          <w:lang w:val="es-AR"/>
        </w:rPr>
      </w:pPr>
      <w:r w:rsidRPr="00F809B3">
        <w:rPr>
          <w:lang w:val="es-AR"/>
        </w:rPr>
        <w:t xml:space="preserve">En Argentina, además de las bolsitas de nicotina, preocupa la circulación de </w:t>
      </w:r>
      <w:r w:rsidRPr="00DC5618">
        <w:rPr>
          <w:b/>
          <w:bCs/>
          <w:lang w:val="es-AR"/>
        </w:rPr>
        <w:t>líquidos para cigarrillos electrónicos (e-líquidos)</w:t>
      </w:r>
      <w:r w:rsidRPr="00F809B3">
        <w:rPr>
          <w:lang w:val="es-AR"/>
        </w:rPr>
        <w:t xml:space="preserve"> que se comercializan por canales informales pese a que ANMAT (Disposición 3226/2011) prohibió la importación, distribución, comercialización y publicidad del “Cigarrillo Electrónico”, extendiendo la prohibición a accesorios y cartuchos con nicotina. Desde el punto de vista toxicológico, estos líquidos concentran nicotina y pequeñas cantidades (incluso fracciones de mililitro en soluciones altamente concentradas) se han asociado a síntomas en niños pequeños (vómitos, hipersecreción, alteraciones del pulso, convulsiones), y existen casos fatales pediátricos documentados tras ingesta accidental. </w:t>
      </w:r>
    </w:p>
    <w:p w14:paraId="56ADDA17" w14:textId="6CC15EC5" w:rsidR="00EA4903" w:rsidRPr="00EA4903" w:rsidRDefault="00430F84" w:rsidP="007D2879">
      <w:pPr>
        <w:pStyle w:val="Ttulo1"/>
        <w:jc w:val="both"/>
        <w:rPr>
          <w:lang w:val="es-AR"/>
        </w:rPr>
      </w:pPr>
      <w:r w:rsidRPr="00F809B3">
        <w:rPr>
          <w:lang w:val="es-AR"/>
        </w:rPr>
        <w:t>¿Tras la denuncia qué?</w:t>
      </w:r>
    </w:p>
    <w:p w14:paraId="66949007" w14:textId="60D12EFE" w:rsidR="00EA4903" w:rsidRPr="00EA4903" w:rsidRDefault="00EA4903" w:rsidP="007D2879">
      <w:pPr>
        <w:jc w:val="both"/>
        <w:rPr>
          <w:lang w:val="es-AR"/>
        </w:rPr>
      </w:pPr>
      <w:r w:rsidRPr="00F809B3">
        <w:rPr>
          <w:lang w:val="es-AR"/>
        </w:rPr>
        <w:t xml:space="preserve">UATA presentó una denuncia formal ante el Ministerio de Salud a comienzos de diciembre, cuando aún había tiempo de frenar la estrategia de marketing orientada a la temporada estival. A la fecha de este comunicado, UATA no ha recibido respuesta formal ni se han informado públicamente medidas concretas en el marco de las denuncias presentadas ni pedidos de información, manteniéndose la exposición de </w:t>
      </w:r>
      <w:proofErr w:type="spellStart"/>
      <w:r w:rsidRPr="00F809B3">
        <w:rPr>
          <w:lang w:val="es-AR"/>
        </w:rPr>
        <w:t>NNyA</w:t>
      </w:r>
      <w:proofErr w:type="spellEnd"/>
      <w:r w:rsidRPr="00F809B3">
        <w:rPr>
          <w:lang w:val="es-AR"/>
        </w:rPr>
        <w:t xml:space="preserve"> al riesgo de intoxicaciones y adicción.</w:t>
      </w:r>
    </w:p>
    <w:p w14:paraId="6C66370E" w14:textId="77777777" w:rsidR="00EA4903" w:rsidRPr="00DC5618" w:rsidRDefault="00EA4903" w:rsidP="007D2879">
      <w:pPr>
        <w:jc w:val="both"/>
        <w:rPr>
          <w:b/>
          <w:bCs/>
          <w:lang w:val="es-AR"/>
        </w:rPr>
      </w:pPr>
      <w:r w:rsidRPr="00DC5618">
        <w:rPr>
          <w:b/>
          <w:bCs/>
          <w:lang w:val="es-AR"/>
        </w:rPr>
        <w:t>Lo que exigimos (medidas mínimas y urgentes)</w:t>
      </w:r>
    </w:p>
    <w:p w14:paraId="285AFE1C" w14:textId="1494ABDE" w:rsidR="00EA4903" w:rsidRPr="00EA4903" w:rsidRDefault="00EA4903" w:rsidP="007D2879">
      <w:pPr>
        <w:numPr>
          <w:ilvl w:val="0"/>
          <w:numId w:val="1"/>
        </w:numPr>
        <w:jc w:val="both"/>
        <w:rPr>
          <w:lang w:val="es-AR"/>
        </w:rPr>
      </w:pPr>
      <w:r w:rsidRPr="00DC5618">
        <w:rPr>
          <w:b/>
          <w:bCs/>
          <w:lang w:val="es-AR"/>
        </w:rPr>
        <w:lastRenderedPageBreak/>
        <w:t xml:space="preserve">Acción inmediata para retirar </w:t>
      </w:r>
      <w:r w:rsidR="00DC5618" w:rsidRPr="00DC5618">
        <w:rPr>
          <w:b/>
          <w:bCs/>
          <w:lang w:val="es-AR"/>
        </w:rPr>
        <w:t xml:space="preserve">la </w:t>
      </w:r>
      <w:r w:rsidRPr="00DC5618">
        <w:rPr>
          <w:b/>
          <w:bCs/>
          <w:lang w:val="es-AR"/>
        </w:rPr>
        <w:t>oferta de productos y publicidad</w:t>
      </w:r>
      <w:r w:rsidRPr="00F809B3">
        <w:rPr>
          <w:lang w:val="es-AR"/>
        </w:rPr>
        <w:t xml:space="preserve"> en puntos de venta y entornos digitales por presunto incumplimiento de la legislación vigente.</w:t>
      </w:r>
    </w:p>
    <w:p w14:paraId="45D352E9" w14:textId="46A51204" w:rsidR="00EA4903" w:rsidRPr="00EA4903" w:rsidRDefault="00EA4903" w:rsidP="007D2879">
      <w:pPr>
        <w:numPr>
          <w:ilvl w:val="0"/>
          <w:numId w:val="1"/>
        </w:numPr>
        <w:jc w:val="both"/>
        <w:rPr>
          <w:lang w:val="es-AR"/>
        </w:rPr>
      </w:pPr>
      <w:r w:rsidRPr="00DC5618">
        <w:rPr>
          <w:b/>
          <w:bCs/>
          <w:lang w:val="es-AR"/>
        </w:rPr>
        <w:t>Fiscalización real</w:t>
      </w:r>
      <w:r w:rsidRPr="00F809B3">
        <w:rPr>
          <w:lang w:val="es-AR"/>
        </w:rPr>
        <w:t xml:space="preserve"> (no </w:t>
      </w:r>
      <w:proofErr w:type="spellStart"/>
      <w:r w:rsidRPr="00F809B3">
        <w:rPr>
          <w:lang w:val="es-AR"/>
        </w:rPr>
        <w:t>declamativa</w:t>
      </w:r>
      <w:proofErr w:type="spellEnd"/>
      <w:r w:rsidRPr="00F809B3">
        <w:rPr>
          <w:lang w:val="es-AR"/>
        </w:rPr>
        <w:t>) en kioscos y comercios físicos y electrónicos.</w:t>
      </w:r>
    </w:p>
    <w:p w14:paraId="16D61EEC" w14:textId="72B42D4C" w:rsidR="00EA4903" w:rsidRPr="00EA4903" w:rsidRDefault="004E1650" w:rsidP="007D2879">
      <w:pPr>
        <w:numPr>
          <w:ilvl w:val="0"/>
          <w:numId w:val="1"/>
        </w:numPr>
        <w:jc w:val="both"/>
        <w:rPr>
          <w:lang w:val="es-AR"/>
        </w:rPr>
      </w:pPr>
      <w:r w:rsidRPr="00F809B3">
        <w:rPr>
          <w:lang w:val="es-AR"/>
        </w:rPr>
        <w:t xml:space="preserve">Sanción de una norma que </w:t>
      </w:r>
      <w:r w:rsidRPr="00DC5618">
        <w:rPr>
          <w:b/>
          <w:bCs/>
          <w:lang w:val="es-AR"/>
        </w:rPr>
        <w:t>prohíba la importación, venta y publicidad de productos de nicotina</w:t>
      </w:r>
      <w:r w:rsidR="00DC5618" w:rsidRPr="00DC5618">
        <w:rPr>
          <w:b/>
          <w:bCs/>
          <w:lang w:val="es-AR"/>
        </w:rPr>
        <w:t xml:space="preserve"> de uso recreativo</w:t>
      </w:r>
      <w:r w:rsidR="00DC5618">
        <w:rPr>
          <w:lang w:val="es-AR"/>
        </w:rPr>
        <w:t xml:space="preserve"> (no medicinal).</w:t>
      </w:r>
    </w:p>
    <w:p w14:paraId="2F6CF018" w14:textId="77777777" w:rsidR="00EA4903" w:rsidRPr="00EA4903" w:rsidRDefault="00EA4903" w:rsidP="007D2879">
      <w:pPr>
        <w:pStyle w:val="Ttulo1"/>
        <w:jc w:val="both"/>
        <w:rPr>
          <w:lang w:val="es-AR"/>
        </w:rPr>
      </w:pPr>
      <w:r w:rsidRPr="00F809B3">
        <w:rPr>
          <w:lang w:val="es-AR"/>
        </w:rPr>
        <w:t>Si hay sospecha de intoxicación</w:t>
      </w:r>
    </w:p>
    <w:p w14:paraId="10DD91FE" w14:textId="77777777" w:rsidR="00FB6223" w:rsidRDefault="00EA4903" w:rsidP="007D2879">
      <w:pPr>
        <w:jc w:val="both"/>
        <w:rPr>
          <w:lang w:val="es-AR"/>
        </w:rPr>
      </w:pPr>
      <w:r w:rsidRPr="00F809B3">
        <w:rPr>
          <w:lang w:val="es-AR"/>
        </w:rPr>
        <w:t xml:space="preserve">Ante exposición o ingestión accidental de productos con nicotina, consultar de inmediato a un centro especializado: el Centro Nacional de Intoxicaciones (Hospital Posadas) atiende 24 horas y dispone de línea gratuita nacional: 0800-333-0160 </w:t>
      </w:r>
    </w:p>
    <w:p w14:paraId="01439094" w14:textId="42365770" w:rsidR="00EA4903" w:rsidRPr="00EA4903" w:rsidRDefault="00FB6223" w:rsidP="007D2879">
      <w:pPr>
        <w:jc w:val="both"/>
        <w:rPr>
          <w:lang w:val="es-AR"/>
        </w:rPr>
      </w:pPr>
      <w:hyperlink r:id="rId8" w:history="1">
        <w:r w:rsidRPr="00916D39">
          <w:rPr>
            <w:rStyle w:val="Hipervnculo"/>
            <w:lang w:val="es-AR"/>
          </w:rPr>
          <w:t>https://www.argentina.gob.ar/salud/hospital-nacional-posadas/intoxicaciones</w:t>
        </w:r>
      </w:hyperlink>
      <w:r>
        <w:rPr>
          <w:lang w:val="es-AR"/>
        </w:rPr>
        <w:t xml:space="preserve"> </w:t>
      </w:r>
      <w:r w:rsidR="00EA4903" w:rsidRPr="00F809B3">
        <w:rPr>
          <w:lang w:val="es-AR"/>
        </w:rPr>
        <w:t xml:space="preserve"> </w:t>
      </w:r>
      <w:r>
        <w:rPr>
          <w:lang w:val="es-AR"/>
        </w:rPr>
        <w:t xml:space="preserve"> </w:t>
      </w:r>
    </w:p>
    <w:p w14:paraId="56B37587" w14:textId="77777777" w:rsidR="004E1650" w:rsidRDefault="004E1650" w:rsidP="007D2879">
      <w:pPr>
        <w:jc w:val="both"/>
        <w:rPr>
          <w:b/>
          <w:bCs/>
          <w:lang w:val="es-AR"/>
        </w:rPr>
      </w:pPr>
    </w:p>
    <w:p w14:paraId="3CE57495" w14:textId="77777777" w:rsidR="004E1650" w:rsidRDefault="004E1650" w:rsidP="007D2879">
      <w:pPr>
        <w:jc w:val="both"/>
        <w:rPr>
          <w:b/>
          <w:bCs/>
          <w:lang w:val="es-AR"/>
        </w:rPr>
      </w:pPr>
    </w:p>
    <w:p w14:paraId="6AF40D4E" w14:textId="43BE6221" w:rsidR="00901B09" w:rsidRPr="00F809B3" w:rsidRDefault="00DC5618" w:rsidP="007D2879">
      <w:pPr>
        <w:pBdr>
          <w:top w:val="single" w:sz="4" w:space="1" w:color="auto"/>
        </w:pBdr>
        <w:jc w:val="both"/>
        <w:rPr>
          <w:lang w:val="es-AR"/>
        </w:rPr>
      </w:pPr>
      <w:r w:rsidRPr="00F809B3">
        <w:rPr>
          <w:lang w:val="es-AR"/>
        </w:rPr>
        <w:t>Este comunicado tiene fines informativos de salud pública y se basa en normativa vigente y evidencia técnica disponible</w:t>
      </w:r>
      <w:r w:rsidRPr="00F809B3">
        <w:rPr>
          <w:lang w:val="es-AR"/>
        </w:rPr>
        <w:t>.</w:t>
      </w:r>
    </w:p>
    <w:p w14:paraId="2D6BC33B" w14:textId="77777777" w:rsidR="006625AE" w:rsidRDefault="006625AE" w:rsidP="007D2879">
      <w:pPr>
        <w:jc w:val="both"/>
        <w:rPr>
          <w:lang w:val="es-AR"/>
        </w:rPr>
      </w:pPr>
    </w:p>
    <w:p w14:paraId="2ADF2203" w14:textId="30B51177" w:rsidR="00DD40E3" w:rsidRPr="00DD40E3" w:rsidRDefault="00DD40E3" w:rsidP="007D2879">
      <w:pPr>
        <w:jc w:val="both"/>
        <w:rPr>
          <w:lang w:val="es-AR"/>
        </w:rPr>
      </w:pPr>
      <w:r w:rsidRPr="00DD40E3">
        <w:rPr>
          <w:lang w:val="es-AR"/>
        </w:rPr>
        <w:t>UNION ANTITABAQUICA ARGENTINA (UATA)</w:t>
      </w:r>
    </w:p>
    <w:p w14:paraId="4D289372" w14:textId="77777777" w:rsidR="00DD40E3" w:rsidRPr="00DD40E3" w:rsidRDefault="00DD40E3" w:rsidP="007D2879">
      <w:pPr>
        <w:jc w:val="both"/>
        <w:rPr>
          <w:lang w:val="es-AR"/>
        </w:rPr>
      </w:pPr>
      <w:hyperlink r:id="rId9" w:history="1">
        <w:r w:rsidRPr="00DD40E3">
          <w:rPr>
            <w:rStyle w:val="Hipervnculo"/>
            <w:lang w:val="es-AR"/>
          </w:rPr>
          <w:t>www.UATA.org.ar</w:t>
        </w:r>
      </w:hyperlink>
      <w:r w:rsidRPr="00DD40E3">
        <w:rPr>
          <w:lang w:val="es-AR"/>
        </w:rPr>
        <w:t xml:space="preserve"> </w:t>
      </w:r>
    </w:p>
    <w:p w14:paraId="28AD6BC2" w14:textId="77777777" w:rsidR="00DD40E3" w:rsidRPr="00DD40E3" w:rsidRDefault="00DD40E3" w:rsidP="007D2879">
      <w:pPr>
        <w:jc w:val="both"/>
        <w:rPr>
          <w:lang w:val="es-AR"/>
        </w:rPr>
      </w:pPr>
      <w:r w:rsidRPr="00DD40E3">
        <w:rPr>
          <w:lang w:val="es-AR"/>
        </w:rPr>
        <w:t xml:space="preserve">Correo: </w:t>
      </w:r>
      <w:hyperlink r:id="rId10" w:history="1">
        <w:r w:rsidRPr="00DD40E3">
          <w:rPr>
            <w:rStyle w:val="Hipervnculo"/>
            <w:lang w:val="es-AR"/>
          </w:rPr>
          <w:t>uataunionantitabaquica@gmail.com</w:t>
        </w:r>
      </w:hyperlink>
      <w:r w:rsidRPr="00DD40E3">
        <w:rPr>
          <w:lang w:val="es-AR"/>
        </w:rPr>
        <w:t xml:space="preserve"> </w:t>
      </w:r>
    </w:p>
    <w:p w14:paraId="200BC82C" w14:textId="77777777" w:rsidR="00DD40E3" w:rsidRPr="00DD40E3" w:rsidRDefault="00DD40E3" w:rsidP="007D2879">
      <w:pPr>
        <w:jc w:val="both"/>
        <w:rPr>
          <w:lang w:val="es-AR"/>
        </w:rPr>
      </w:pPr>
      <w:r w:rsidRPr="00DD40E3">
        <w:rPr>
          <w:lang w:val="es-AR"/>
        </w:rPr>
        <w:t xml:space="preserve">Contacto: Mario Virgolini. Comisión Directiva. </w:t>
      </w:r>
    </w:p>
    <w:p w14:paraId="7F0AF987" w14:textId="77777777" w:rsidR="00DD40E3" w:rsidRPr="00DD40E3" w:rsidRDefault="00DD40E3" w:rsidP="007D2879">
      <w:pPr>
        <w:jc w:val="both"/>
        <w:rPr>
          <w:lang w:val="es-AR"/>
        </w:rPr>
      </w:pPr>
      <w:hyperlink r:id="rId11" w:history="1">
        <w:r w:rsidRPr="00DD40E3">
          <w:rPr>
            <w:rStyle w:val="Hipervnculo"/>
            <w:lang w:val="es-AR"/>
          </w:rPr>
          <w:t>Mvirgolini@yahoo.com.ar</w:t>
        </w:r>
      </w:hyperlink>
    </w:p>
    <w:p w14:paraId="603D8240" w14:textId="570967F7" w:rsidR="006625AE" w:rsidRDefault="006625AE" w:rsidP="007D2879">
      <w:pPr>
        <w:jc w:val="both"/>
        <w:rPr>
          <w:rFonts w:asciiTheme="majorHAnsi" w:eastAsiaTheme="majorEastAsia" w:hAnsiTheme="majorHAnsi" w:cstheme="majorBidi"/>
          <w:color w:val="0F4761" w:themeColor="accent1" w:themeShade="BF"/>
          <w:sz w:val="40"/>
          <w:szCs w:val="40"/>
          <w:lang w:val="es-AR"/>
        </w:rPr>
      </w:pPr>
    </w:p>
    <w:p w14:paraId="1DCCA723" w14:textId="77777777" w:rsidR="00E14A09" w:rsidRDefault="00E14A09">
      <w:pPr>
        <w:rPr>
          <w:rFonts w:asciiTheme="majorHAnsi" w:eastAsiaTheme="majorEastAsia" w:hAnsiTheme="majorHAnsi" w:cstheme="majorBidi"/>
          <w:color w:val="0F4761" w:themeColor="accent1" w:themeShade="BF"/>
          <w:sz w:val="40"/>
          <w:szCs w:val="40"/>
          <w:lang w:val="es-AR"/>
        </w:rPr>
      </w:pPr>
      <w:r>
        <w:rPr>
          <w:lang w:val="es-AR"/>
        </w:rPr>
        <w:br w:type="page"/>
      </w:r>
    </w:p>
    <w:p w14:paraId="5851A7B4" w14:textId="04E344A2" w:rsidR="00BD5965" w:rsidRPr="00EA4903" w:rsidRDefault="00BD5965" w:rsidP="00170A78">
      <w:pPr>
        <w:pStyle w:val="Ttulo1"/>
        <w:rPr>
          <w:lang w:val="es-AR"/>
        </w:rPr>
      </w:pPr>
      <w:r>
        <w:rPr>
          <w:lang w:val="es-AR"/>
        </w:rPr>
        <w:lastRenderedPageBreak/>
        <w:t>Referencias</w:t>
      </w:r>
    </w:p>
    <w:sectPr w:rsidR="00BD5965" w:rsidRPr="00EA4903">
      <w:footerReference w:type="default" r:id="rId12"/>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654AE" w14:textId="77777777" w:rsidR="008C14B6" w:rsidRDefault="008C14B6" w:rsidP="00B55CAD">
      <w:pPr>
        <w:spacing w:after="0" w:line="240" w:lineRule="auto"/>
      </w:pPr>
      <w:r>
        <w:separator/>
      </w:r>
    </w:p>
  </w:endnote>
  <w:endnote w:type="continuationSeparator" w:id="0">
    <w:p w14:paraId="7F6E4293" w14:textId="77777777" w:rsidR="008C14B6" w:rsidRDefault="008C14B6" w:rsidP="00B55CAD">
      <w:pPr>
        <w:spacing w:after="0" w:line="240" w:lineRule="auto"/>
      </w:pPr>
      <w:r>
        <w:continuationSeparator/>
      </w:r>
    </w:p>
  </w:endnote>
  <w:endnote w:id="1">
    <w:p w14:paraId="36FED70C" w14:textId="77777777" w:rsidR="00BD5965" w:rsidRPr="00F61549" w:rsidRDefault="00BD5965" w:rsidP="00566302">
      <w:pPr>
        <w:pStyle w:val="Textonotaalfinal"/>
        <w:rPr>
          <w:sz w:val="24"/>
          <w:szCs w:val="24"/>
        </w:rPr>
      </w:pPr>
      <w:r w:rsidRPr="00F61549">
        <w:rPr>
          <w:rStyle w:val="Refdenotaalfinal"/>
          <w:sz w:val="24"/>
          <w:szCs w:val="24"/>
        </w:rPr>
        <w:endnoteRef/>
      </w:r>
      <w:r w:rsidRPr="00F61549">
        <w:rPr>
          <w:sz w:val="24"/>
          <w:szCs w:val="24"/>
        </w:rPr>
        <w:t xml:space="preserve"> Smokers are nicotine addicts, </w:t>
      </w:r>
      <w:proofErr w:type="spellStart"/>
      <w:r w:rsidRPr="00F61549">
        <w:rPr>
          <w:sz w:val="24"/>
          <w:szCs w:val="24"/>
        </w:rPr>
        <w:t>memorando</w:t>
      </w:r>
      <w:proofErr w:type="spellEnd"/>
      <w:r w:rsidRPr="00F61549">
        <w:rPr>
          <w:sz w:val="24"/>
          <w:szCs w:val="24"/>
        </w:rPr>
        <w:t xml:space="preserve"> </w:t>
      </w:r>
      <w:proofErr w:type="spellStart"/>
      <w:r w:rsidRPr="00F61549">
        <w:rPr>
          <w:sz w:val="24"/>
          <w:szCs w:val="24"/>
        </w:rPr>
        <w:t>interno</w:t>
      </w:r>
      <w:proofErr w:type="spellEnd"/>
      <w:r w:rsidRPr="00F61549">
        <w:rPr>
          <w:sz w:val="24"/>
          <w:szCs w:val="24"/>
        </w:rPr>
        <w:t xml:space="preserve"> </w:t>
      </w:r>
      <w:proofErr w:type="spellStart"/>
      <w:r w:rsidRPr="00F61549">
        <w:rPr>
          <w:sz w:val="24"/>
          <w:szCs w:val="24"/>
        </w:rPr>
        <w:t>citado</w:t>
      </w:r>
      <w:proofErr w:type="spellEnd"/>
      <w:r w:rsidRPr="00F61549">
        <w:rPr>
          <w:sz w:val="24"/>
          <w:szCs w:val="24"/>
        </w:rPr>
        <w:t xml:space="preserve"> </w:t>
      </w:r>
      <w:proofErr w:type="spellStart"/>
      <w:r w:rsidRPr="00F61549">
        <w:rPr>
          <w:sz w:val="24"/>
          <w:szCs w:val="24"/>
        </w:rPr>
        <w:t>por</w:t>
      </w:r>
      <w:proofErr w:type="spellEnd"/>
      <w:r w:rsidRPr="00F61549">
        <w:rPr>
          <w:sz w:val="24"/>
          <w:szCs w:val="24"/>
        </w:rPr>
        <w:t xml:space="preserve"> OMS, 1961</w:t>
      </w:r>
    </w:p>
  </w:endnote>
  <w:endnote w:id="2">
    <w:p w14:paraId="0B572356" w14:textId="77777777" w:rsidR="00BD5965" w:rsidRPr="00F61549" w:rsidRDefault="00BD5965" w:rsidP="007F62FE">
      <w:pPr>
        <w:pStyle w:val="Textonotaalfinal"/>
        <w:rPr>
          <w:sz w:val="24"/>
          <w:szCs w:val="24"/>
        </w:rPr>
      </w:pPr>
      <w:r w:rsidRPr="00F61549">
        <w:rPr>
          <w:rStyle w:val="Refdenotaalfinal"/>
          <w:sz w:val="24"/>
          <w:szCs w:val="24"/>
        </w:rPr>
        <w:endnoteRef/>
      </w:r>
      <w:r w:rsidRPr="00F61549">
        <w:rPr>
          <w:sz w:val="24"/>
          <w:szCs w:val="24"/>
        </w:rPr>
        <w:t xml:space="preserve"> Philip Morris, 1972</w:t>
      </w:r>
    </w:p>
  </w:endnote>
  <w:endnote w:id="3">
    <w:p w14:paraId="63DEB7BC" w14:textId="77777777" w:rsidR="00BD5965" w:rsidRPr="00F61549" w:rsidRDefault="00BD5965" w:rsidP="00F93C60">
      <w:pPr>
        <w:pStyle w:val="Textonotaalfinal"/>
        <w:rPr>
          <w:sz w:val="24"/>
          <w:szCs w:val="24"/>
        </w:rPr>
      </w:pPr>
      <w:r w:rsidRPr="00F61549">
        <w:rPr>
          <w:rStyle w:val="Refdenotaalfinal"/>
          <w:sz w:val="24"/>
          <w:szCs w:val="24"/>
        </w:rPr>
        <w:endnoteRef/>
      </w:r>
      <w:r w:rsidRPr="00F61549">
        <w:rPr>
          <w:sz w:val="24"/>
          <w:szCs w:val="24"/>
        </w:rPr>
        <w:t xml:space="preserve"> United States v. Philip Morris, 2006; </w:t>
      </w:r>
      <w:proofErr w:type="spellStart"/>
      <w:r w:rsidRPr="00F61549">
        <w:rPr>
          <w:sz w:val="24"/>
          <w:szCs w:val="24"/>
        </w:rPr>
        <w:t>confirmada</w:t>
      </w:r>
      <w:proofErr w:type="spellEnd"/>
      <w:r w:rsidRPr="00F61549">
        <w:rPr>
          <w:sz w:val="24"/>
          <w:szCs w:val="24"/>
        </w:rPr>
        <w:t xml:space="preserve"> </w:t>
      </w:r>
      <w:proofErr w:type="spellStart"/>
      <w:r w:rsidRPr="00F61549">
        <w:rPr>
          <w:sz w:val="24"/>
          <w:szCs w:val="24"/>
        </w:rPr>
        <w:t>en</w:t>
      </w:r>
      <w:proofErr w:type="spellEnd"/>
      <w:r w:rsidRPr="00F61549">
        <w:rPr>
          <w:sz w:val="24"/>
          <w:szCs w:val="24"/>
        </w:rPr>
        <w:t xml:space="preserve"> </w:t>
      </w:r>
      <w:proofErr w:type="spellStart"/>
      <w:r w:rsidRPr="00F61549">
        <w:rPr>
          <w:sz w:val="24"/>
          <w:szCs w:val="24"/>
        </w:rPr>
        <w:t>apelación</w:t>
      </w:r>
      <w:proofErr w:type="spellEnd"/>
    </w:p>
  </w:endnote>
  <w:endnote w:id="4">
    <w:p w14:paraId="4784512D" w14:textId="77777777" w:rsidR="00BD5965" w:rsidRPr="00F61549" w:rsidRDefault="00BD5965" w:rsidP="005A6BB7">
      <w:pPr>
        <w:pStyle w:val="Textonotaalfinal"/>
        <w:rPr>
          <w:sz w:val="24"/>
          <w:szCs w:val="24"/>
        </w:rPr>
      </w:pPr>
      <w:r w:rsidRPr="00F61549">
        <w:rPr>
          <w:rStyle w:val="Refdenotaalfinal"/>
          <w:sz w:val="24"/>
          <w:szCs w:val="24"/>
        </w:rPr>
        <w:endnoteRef/>
      </w:r>
      <w:r w:rsidRPr="00F61549">
        <w:rPr>
          <w:sz w:val="24"/>
          <w:szCs w:val="24"/>
        </w:rPr>
        <w:t xml:space="preserve"> </w:t>
      </w:r>
      <w:hyperlink r:id="rId1" w:history="1">
        <w:r w:rsidRPr="00F61549">
          <w:rPr>
            <w:rStyle w:val="Hipervnculo"/>
            <w:sz w:val="24"/>
            <w:szCs w:val="24"/>
          </w:rPr>
          <w:t>https://www.tobaccocontrollaws.org/litigation/decisions/united-states-v-philip-morris-usa-6</w:t>
        </w:r>
      </w:hyperlink>
      <w:r w:rsidRPr="00F61549">
        <w:rPr>
          <w:sz w:val="24"/>
          <w:szCs w:val="24"/>
        </w:rPr>
        <w:t xml:space="preserve"> </w:t>
      </w:r>
    </w:p>
  </w:endnote>
  <w:endnote w:id="5">
    <w:p w14:paraId="1EE02D4E" w14:textId="77777777" w:rsidR="00BD5965" w:rsidRPr="00F61549" w:rsidRDefault="00BD5965" w:rsidP="000849CB">
      <w:pPr>
        <w:pStyle w:val="Textonotaalfinal"/>
        <w:rPr>
          <w:sz w:val="24"/>
          <w:szCs w:val="24"/>
        </w:rPr>
      </w:pPr>
      <w:r w:rsidRPr="00F61549">
        <w:rPr>
          <w:rStyle w:val="Refdenotaalfinal"/>
          <w:sz w:val="24"/>
          <w:szCs w:val="24"/>
        </w:rPr>
        <w:endnoteRef/>
      </w:r>
      <w:r w:rsidRPr="00F61549">
        <w:rPr>
          <w:sz w:val="24"/>
          <w:szCs w:val="24"/>
        </w:rPr>
        <w:t xml:space="preserve"> Tiwari RK, Sharma V, Pandey RK, Shukla SS. Nicotine Addiction: Neurobiology and Mechanism. J </w:t>
      </w:r>
      <w:proofErr w:type="spellStart"/>
      <w:r w:rsidRPr="00F61549">
        <w:rPr>
          <w:sz w:val="24"/>
          <w:szCs w:val="24"/>
        </w:rPr>
        <w:t>Pharmacopuncture</w:t>
      </w:r>
      <w:proofErr w:type="spellEnd"/>
      <w:r w:rsidRPr="00F61549">
        <w:rPr>
          <w:sz w:val="24"/>
          <w:szCs w:val="24"/>
        </w:rPr>
        <w:t xml:space="preserve">. 2020 Mar 31;23(1):1-7. </w:t>
      </w:r>
      <w:proofErr w:type="spellStart"/>
      <w:r w:rsidRPr="00F61549">
        <w:rPr>
          <w:sz w:val="24"/>
          <w:szCs w:val="24"/>
        </w:rPr>
        <w:t>doi</w:t>
      </w:r>
      <w:proofErr w:type="spellEnd"/>
      <w:r w:rsidRPr="00F61549">
        <w:rPr>
          <w:sz w:val="24"/>
          <w:szCs w:val="24"/>
        </w:rPr>
        <w:t>: 10.3831/KPI.2020.23.001. PMID: 32322429; PMCID: PMC7163392.</w:t>
      </w:r>
    </w:p>
  </w:endnote>
  <w:endnote w:id="6">
    <w:p w14:paraId="1AF2F0FF" w14:textId="77777777" w:rsidR="00BD5965" w:rsidRPr="00F61549" w:rsidRDefault="00BD5965" w:rsidP="000F0C5C">
      <w:pPr>
        <w:pStyle w:val="Textonotaalfinal"/>
        <w:rPr>
          <w:sz w:val="24"/>
          <w:szCs w:val="24"/>
          <w:lang w:val="es-AR"/>
        </w:rPr>
      </w:pPr>
      <w:r w:rsidRPr="00F61549">
        <w:rPr>
          <w:rStyle w:val="Refdenotaalfinal"/>
          <w:sz w:val="24"/>
          <w:szCs w:val="24"/>
        </w:rPr>
        <w:endnoteRef/>
      </w:r>
      <w:r w:rsidRPr="00F61549">
        <w:rPr>
          <w:sz w:val="24"/>
          <w:szCs w:val="24"/>
        </w:rPr>
        <w:t xml:space="preserve"> NIDA. 2020, Junio 2. </w:t>
      </w:r>
      <w:r w:rsidRPr="00F61549">
        <w:rPr>
          <w:sz w:val="24"/>
          <w:szCs w:val="24"/>
          <w:lang w:val="es-AR"/>
        </w:rPr>
        <w:t xml:space="preserve">¿La nicotina es </w:t>
      </w:r>
      <w:proofErr w:type="gramStart"/>
      <w:r w:rsidRPr="00F61549">
        <w:rPr>
          <w:sz w:val="24"/>
          <w:szCs w:val="24"/>
          <w:lang w:val="es-AR"/>
        </w:rPr>
        <w:t>adictiva?.</w:t>
      </w:r>
      <w:proofErr w:type="gramEnd"/>
      <w:r w:rsidRPr="00F61549">
        <w:rPr>
          <w:sz w:val="24"/>
          <w:szCs w:val="24"/>
          <w:lang w:val="es-AR"/>
        </w:rPr>
        <w:t xml:space="preserve"> Obtenido de </w:t>
      </w:r>
      <w:hyperlink r:id="rId2" w:history="1">
        <w:r w:rsidRPr="00F61549">
          <w:rPr>
            <w:rStyle w:val="Hipervnculo"/>
            <w:sz w:val="24"/>
            <w:szCs w:val="24"/>
            <w:lang w:val="es-AR"/>
          </w:rPr>
          <w:t>https://nida.nih.gov/es/publicaciones/serie-de-reportes/adiccion-al-tabaco/es-adictiva-la-nicotina</w:t>
        </w:r>
      </w:hyperlink>
      <w:r w:rsidRPr="00F61549">
        <w:rPr>
          <w:sz w:val="24"/>
          <w:szCs w:val="24"/>
          <w:lang w:val="es-AR"/>
        </w:rPr>
        <w:t xml:space="preserve"> en 2026, </w:t>
      </w:r>
      <w:proofErr w:type="gramStart"/>
      <w:r w:rsidRPr="00F61549">
        <w:rPr>
          <w:sz w:val="24"/>
          <w:szCs w:val="24"/>
          <w:lang w:val="es-AR"/>
        </w:rPr>
        <w:t>Enero</w:t>
      </w:r>
      <w:proofErr w:type="gramEnd"/>
      <w:r w:rsidRPr="00F61549">
        <w:rPr>
          <w:sz w:val="24"/>
          <w:szCs w:val="24"/>
          <w:lang w:val="es-AR"/>
        </w:rPr>
        <w:t xml:space="preserve"> 22</w:t>
      </w:r>
    </w:p>
  </w:endnote>
  <w:endnote w:id="7">
    <w:p w14:paraId="25F4DDF4" w14:textId="77777777" w:rsidR="00BD5965" w:rsidRPr="00F61549" w:rsidRDefault="00BD5965" w:rsidP="00A9429F">
      <w:pPr>
        <w:pStyle w:val="Textonotaalfinal"/>
        <w:rPr>
          <w:sz w:val="24"/>
          <w:szCs w:val="24"/>
        </w:rPr>
      </w:pPr>
      <w:r w:rsidRPr="00F61549">
        <w:rPr>
          <w:rStyle w:val="Refdenotaalfinal"/>
          <w:sz w:val="24"/>
          <w:szCs w:val="24"/>
        </w:rPr>
        <w:endnoteRef/>
      </w:r>
      <w:r w:rsidRPr="00F61549">
        <w:rPr>
          <w:sz w:val="24"/>
          <w:szCs w:val="24"/>
          <w:lang w:val="es-AR"/>
        </w:rPr>
        <w:t xml:space="preserve"> Nicolas Fabresse, Jenny Becam, Édouard Martin, Gildas Pouradier, Natalia Doudka, Caroline Solas, Romain Guilhaumou, </w:t>
      </w:r>
      <w:proofErr w:type="spellStart"/>
      <w:r w:rsidRPr="00F61549">
        <w:rPr>
          <w:sz w:val="24"/>
          <w:szCs w:val="24"/>
          <w:lang w:val="es-AR"/>
        </w:rPr>
        <w:t>Intoxication</w:t>
      </w:r>
      <w:proofErr w:type="spellEnd"/>
      <w:r w:rsidRPr="00F61549">
        <w:rPr>
          <w:sz w:val="24"/>
          <w:szCs w:val="24"/>
          <w:lang w:val="es-AR"/>
        </w:rPr>
        <w:t xml:space="preserve"> </w:t>
      </w:r>
      <w:proofErr w:type="spellStart"/>
      <w:r w:rsidRPr="00F61549">
        <w:rPr>
          <w:sz w:val="24"/>
          <w:szCs w:val="24"/>
          <w:lang w:val="es-AR"/>
        </w:rPr>
        <w:t>aiguë</w:t>
      </w:r>
      <w:proofErr w:type="spellEnd"/>
      <w:r w:rsidRPr="00F61549">
        <w:rPr>
          <w:sz w:val="24"/>
          <w:szCs w:val="24"/>
          <w:lang w:val="es-AR"/>
        </w:rPr>
        <w:t xml:space="preserve"> à la </w:t>
      </w:r>
      <w:proofErr w:type="spellStart"/>
      <w:r w:rsidRPr="00F61549">
        <w:rPr>
          <w:sz w:val="24"/>
          <w:szCs w:val="24"/>
          <w:lang w:val="es-AR"/>
        </w:rPr>
        <w:t>nicotine</w:t>
      </w:r>
      <w:proofErr w:type="spellEnd"/>
      <w:r w:rsidRPr="00F61549">
        <w:rPr>
          <w:sz w:val="24"/>
          <w:szCs w:val="24"/>
          <w:lang w:val="es-AR"/>
        </w:rPr>
        <w:t xml:space="preserve"> </w:t>
      </w:r>
      <w:proofErr w:type="spellStart"/>
      <w:r w:rsidRPr="00F61549">
        <w:rPr>
          <w:sz w:val="24"/>
          <w:szCs w:val="24"/>
          <w:lang w:val="es-AR"/>
        </w:rPr>
        <w:t>après</w:t>
      </w:r>
      <w:proofErr w:type="spellEnd"/>
      <w:r w:rsidRPr="00F61549">
        <w:rPr>
          <w:sz w:val="24"/>
          <w:szCs w:val="24"/>
          <w:lang w:val="es-AR"/>
        </w:rPr>
        <w:t xml:space="preserve"> </w:t>
      </w:r>
      <w:proofErr w:type="spellStart"/>
      <w:r w:rsidRPr="00F61549">
        <w:rPr>
          <w:sz w:val="24"/>
          <w:szCs w:val="24"/>
          <w:lang w:val="es-AR"/>
        </w:rPr>
        <w:t>exposition</w:t>
      </w:r>
      <w:proofErr w:type="spellEnd"/>
      <w:r w:rsidRPr="00F61549">
        <w:rPr>
          <w:sz w:val="24"/>
          <w:szCs w:val="24"/>
          <w:lang w:val="es-AR"/>
        </w:rPr>
        <w:t xml:space="preserve"> </w:t>
      </w:r>
      <w:proofErr w:type="spellStart"/>
      <w:r w:rsidRPr="00F61549">
        <w:rPr>
          <w:sz w:val="24"/>
          <w:szCs w:val="24"/>
          <w:lang w:val="es-AR"/>
        </w:rPr>
        <w:t>accidentelle</w:t>
      </w:r>
      <w:proofErr w:type="spellEnd"/>
      <w:r w:rsidRPr="00F61549">
        <w:rPr>
          <w:sz w:val="24"/>
          <w:szCs w:val="24"/>
          <w:lang w:val="es-AR"/>
        </w:rPr>
        <w:t xml:space="preserve"> par </w:t>
      </w:r>
      <w:proofErr w:type="spellStart"/>
      <w:r w:rsidRPr="00F61549">
        <w:rPr>
          <w:sz w:val="24"/>
          <w:szCs w:val="24"/>
          <w:lang w:val="es-AR"/>
        </w:rPr>
        <w:t>voie</w:t>
      </w:r>
      <w:proofErr w:type="spellEnd"/>
      <w:r w:rsidRPr="00F61549">
        <w:rPr>
          <w:sz w:val="24"/>
          <w:szCs w:val="24"/>
          <w:lang w:val="es-AR"/>
        </w:rPr>
        <w:t xml:space="preserve"> </w:t>
      </w:r>
      <w:proofErr w:type="spellStart"/>
      <w:proofErr w:type="gramStart"/>
      <w:r w:rsidRPr="00F61549">
        <w:rPr>
          <w:sz w:val="24"/>
          <w:szCs w:val="24"/>
          <w:lang w:val="es-AR"/>
        </w:rPr>
        <w:t>cutanée</w:t>
      </w:r>
      <w:proofErr w:type="spellEnd"/>
      <w:r w:rsidRPr="00F61549">
        <w:rPr>
          <w:sz w:val="24"/>
          <w:szCs w:val="24"/>
          <w:lang w:val="es-AR"/>
        </w:rPr>
        <w:t> :</w:t>
      </w:r>
      <w:proofErr w:type="gramEnd"/>
      <w:r w:rsidRPr="00F61549">
        <w:rPr>
          <w:sz w:val="24"/>
          <w:szCs w:val="24"/>
          <w:lang w:val="es-AR"/>
        </w:rPr>
        <w:t xml:space="preserve"> à </w:t>
      </w:r>
      <w:proofErr w:type="spellStart"/>
      <w:r w:rsidRPr="00F61549">
        <w:rPr>
          <w:sz w:val="24"/>
          <w:szCs w:val="24"/>
          <w:lang w:val="es-AR"/>
        </w:rPr>
        <w:t>propos</w:t>
      </w:r>
      <w:proofErr w:type="spellEnd"/>
      <w:r w:rsidRPr="00F61549">
        <w:rPr>
          <w:sz w:val="24"/>
          <w:szCs w:val="24"/>
          <w:lang w:val="es-AR"/>
        </w:rPr>
        <w:t xml:space="preserve"> </w:t>
      </w:r>
      <w:proofErr w:type="spellStart"/>
      <w:r w:rsidRPr="00F61549">
        <w:rPr>
          <w:sz w:val="24"/>
          <w:szCs w:val="24"/>
          <w:lang w:val="es-AR"/>
        </w:rPr>
        <w:t>d’un</w:t>
      </w:r>
      <w:proofErr w:type="spellEnd"/>
      <w:r w:rsidRPr="00F61549">
        <w:rPr>
          <w:sz w:val="24"/>
          <w:szCs w:val="24"/>
          <w:lang w:val="es-AR"/>
        </w:rPr>
        <w:t xml:space="preserve"> cas non fatal, </w:t>
      </w:r>
      <w:proofErr w:type="spellStart"/>
      <w:r w:rsidRPr="00F61549">
        <w:rPr>
          <w:sz w:val="24"/>
          <w:szCs w:val="24"/>
          <w:lang w:val="es-AR"/>
        </w:rPr>
        <w:t>Toxicologie</w:t>
      </w:r>
      <w:proofErr w:type="spellEnd"/>
      <w:r w:rsidRPr="00F61549">
        <w:rPr>
          <w:sz w:val="24"/>
          <w:szCs w:val="24"/>
          <w:lang w:val="es-AR"/>
        </w:rPr>
        <w:t xml:space="preserve"> </w:t>
      </w:r>
      <w:proofErr w:type="spellStart"/>
      <w:r w:rsidRPr="00F61549">
        <w:rPr>
          <w:sz w:val="24"/>
          <w:szCs w:val="24"/>
          <w:lang w:val="es-AR"/>
        </w:rPr>
        <w:t>Analytique</w:t>
      </w:r>
      <w:proofErr w:type="spellEnd"/>
      <w:r w:rsidRPr="00F61549">
        <w:rPr>
          <w:sz w:val="24"/>
          <w:szCs w:val="24"/>
          <w:lang w:val="es-AR"/>
        </w:rPr>
        <w:t xml:space="preserve"> et Clinique, </w:t>
      </w:r>
      <w:proofErr w:type="spellStart"/>
      <w:r w:rsidRPr="00F61549">
        <w:rPr>
          <w:sz w:val="24"/>
          <w:szCs w:val="24"/>
          <w:lang w:val="es-AR"/>
        </w:rPr>
        <w:t>Volume</w:t>
      </w:r>
      <w:proofErr w:type="spellEnd"/>
      <w:r w:rsidRPr="00F61549">
        <w:rPr>
          <w:sz w:val="24"/>
          <w:szCs w:val="24"/>
          <w:lang w:val="es-AR"/>
        </w:rPr>
        <w:t xml:space="preserve"> 35, </w:t>
      </w:r>
      <w:proofErr w:type="spellStart"/>
      <w:r w:rsidRPr="00F61549">
        <w:rPr>
          <w:sz w:val="24"/>
          <w:szCs w:val="24"/>
          <w:lang w:val="es-AR"/>
        </w:rPr>
        <w:t>Issue</w:t>
      </w:r>
      <w:proofErr w:type="spellEnd"/>
      <w:r w:rsidRPr="00F61549">
        <w:rPr>
          <w:sz w:val="24"/>
          <w:szCs w:val="24"/>
          <w:lang w:val="es-AR"/>
        </w:rPr>
        <w:t xml:space="preserve"> 2, </w:t>
      </w:r>
      <w:proofErr w:type="spellStart"/>
      <w:r w:rsidRPr="00F61549">
        <w:rPr>
          <w:sz w:val="24"/>
          <w:szCs w:val="24"/>
          <w:lang w:val="es-AR"/>
        </w:rPr>
        <w:t>Supplement</w:t>
      </w:r>
      <w:proofErr w:type="spellEnd"/>
      <w:r w:rsidRPr="00F61549">
        <w:rPr>
          <w:sz w:val="24"/>
          <w:szCs w:val="24"/>
          <w:lang w:val="es-AR"/>
        </w:rPr>
        <w:t>, 2023, Page S</w:t>
      </w:r>
      <w:proofErr w:type="gramStart"/>
      <w:r w:rsidRPr="00F61549">
        <w:rPr>
          <w:sz w:val="24"/>
          <w:szCs w:val="24"/>
          <w:lang w:val="es-AR"/>
        </w:rPr>
        <w:t>30,ISSN</w:t>
      </w:r>
      <w:proofErr w:type="gramEnd"/>
      <w:r w:rsidRPr="00F61549">
        <w:rPr>
          <w:sz w:val="24"/>
          <w:szCs w:val="24"/>
          <w:lang w:val="es-AR"/>
        </w:rPr>
        <w:t xml:space="preserve"> 2352-0078, </w:t>
      </w:r>
      <w:hyperlink r:id="rId3" w:history="1">
        <w:r w:rsidRPr="00F61549">
          <w:rPr>
            <w:rStyle w:val="Hipervnculo"/>
            <w:sz w:val="24"/>
            <w:szCs w:val="24"/>
            <w:lang w:val="es-AR"/>
          </w:rPr>
          <w:t>https://doi.org/10.1016/j.toxac.2023.03.040</w:t>
        </w:r>
      </w:hyperlink>
      <w:r w:rsidRPr="00F61549">
        <w:rPr>
          <w:sz w:val="24"/>
          <w:szCs w:val="24"/>
          <w:lang w:val="es-AR"/>
        </w:rPr>
        <w:t xml:space="preserve">. </w:t>
      </w:r>
      <w:r w:rsidRPr="00F61549">
        <w:rPr>
          <w:sz w:val="24"/>
          <w:szCs w:val="24"/>
        </w:rPr>
        <w:t>(</w:t>
      </w:r>
      <w:hyperlink r:id="rId4" w:history="1">
        <w:r w:rsidRPr="00F61549">
          <w:rPr>
            <w:rStyle w:val="Hipervnculo"/>
            <w:sz w:val="24"/>
            <w:szCs w:val="24"/>
          </w:rPr>
          <w:t>https://www.sciencedirect.com/science/article/pii/S2352007823000586</w:t>
        </w:r>
      </w:hyperlink>
      <w:r w:rsidRPr="00F61549">
        <w:rPr>
          <w:sz w:val="24"/>
          <w:szCs w:val="24"/>
        </w:rPr>
        <w:t xml:space="preserve">) </w:t>
      </w:r>
    </w:p>
  </w:endnote>
  <w:endnote w:id="8">
    <w:p w14:paraId="7D9498F6" w14:textId="77777777" w:rsidR="00BD5965" w:rsidRPr="00F61549" w:rsidRDefault="00BD5965" w:rsidP="002D1BAA">
      <w:pPr>
        <w:pStyle w:val="Textonotaalfinal"/>
        <w:rPr>
          <w:sz w:val="24"/>
          <w:szCs w:val="24"/>
          <w:lang w:val="es-AR"/>
        </w:rPr>
      </w:pPr>
      <w:r w:rsidRPr="00F61549">
        <w:rPr>
          <w:rStyle w:val="Refdenotaalfinal"/>
          <w:sz w:val="24"/>
          <w:szCs w:val="24"/>
        </w:rPr>
        <w:endnoteRef/>
      </w:r>
      <w:r w:rsidRPr="00F61549">
        <w:rPr>
          <w:sz w:val="24"/>
          <w:szCs w:val="24"/>
        </w:rPr>
        <w:t xml:space="preserve"> Mishra A, Chaturvedi P, Datta S, </w:t>
      </w:r>
      <w:proofErr w:type="spellStart"/>
      <w:r w:rsidRPr="00F61549">
        <w:rPr>
          <w:sz w:val="24"/>
          <w:szCs w:val="24"/>
        </w:rPr>
        <w:t>Sinukumar</w:t>
      </w:r>
      <w:proofErr w:type="spellEnd"/>
      <w:r w:rsidRPr="00F61549">
        <w:rPr>
          <w:sz w:val="24"/>
          <w:szCs w:val="24"/>
        </w:rPr>
        <w:t xml:space="preserve"> S, Joshi P, Garg A. Harmful effects of nicotine. Indian J Med </w:t>
      </w:r>
      <w:proofErr w:type="spellStart"/>
      <w:r w:rsidRPr="00F61549">
        <w:rPr>
          <w:sz w:val="24"/>
          <w:szCs w:val="24"/>
        </w:rPr>
        <w:t>Paediatr</w:t>
      </w:r>
      <w:proofErr w:type="spellEnd"/>
      <w:r w:rsidRPr="00F61549">
        <w:rPr>
          <w:sz w:val="24"/>
          <w:szCs w:val="24"/>
        </w:rPr>
        <w:t xml:space="preserve"> Oncol. 2015 Jan-Mar;36(1):24-31. </w:t>
      </w:r>
      <w:proofErr w:type="spellStart"/>
      <w:r w:rsidRPr="00F61549">
        <w:rPr>
          <w:sz w:val="24"/>
          <w:szCs w:val="24"/>
        </w:rPr>
        <w:t>doi</w:t>
      </w:r>
      <w:proofErr w:type="spellEnd"/>
      <w:r w:rsidRPr="00F61549">
        <w:rPr>
          <w:sz w:val="24"/>
          <w:szCs w:val="24"/>
        </w:rPr>
        <w:t xml:space="preserve">: 10.4103/0971-5851.151771. PMID: 25810571; PMCID: PMC4363846. </w:t>
      </w:r>
      <w:r w:rsidRPr="00F61549">
        <w:rPr>
          <w:sz w:val="24"/>
          <w:szCs w:val="24"/>
          <w:lang w:val="es-AR"/>
        </w:rPr>
        <w:t xml:space="preserve">Disponible en: </w:t>
      </w:r>
      <w:hyperlink r:id="rId5" w:anchor="ref23" w:history="1">
        <w:r w:rsidRPr="00F61549">
          <w:rPr>
            <w:rStyle w:val="Hipervnculo"/>
            <w:sz w:val="24"/>
            <w:szCs w:val="24"/>
            <w:lang w:val="es-AR"/>
          </w:rPr>
          <w:t>https://pmc.ncbi.nlm.nih.gov/articles/PMC4363846/#ref23</w:t>
        </w:r>
      </w:hyperlink>
      <w:r w:rsidRPr="00F61549">
        <w:rPr>
          <w:sz w:val="24"/>
          <w:szCs w:val="24"/>
          <w:lang w:val="es-AR"/>
        </w:rPr>
        <w:t xml:space="preserve"> </w:t>
      </w:r>
    </w:p>
  </w:endnote>
  <w:endnote w:id="9">
    <w:p w14:paraId="50A1C130" w14:textId="77777777" w:rsidR="00BD5965" w:rsidRPr="00F61549" w:rsidRDefault="00BD5965" w:rsidP="00B63D65">
      <w:pPr>
        <w:pStyle w:val="Textonotaalfinal"/>
        <w:rPr>
          <w:sz w:val="24"/>
          <w:szCs w:val="24"/>
        </w:rPr>
      </w:pPr>
      <w:r w:rsidRPr="00F61549">
        <w:rPr>
          <w:rStyle w:val="Refdenotaalfinal"/>
          <w:sz w:val="24"/>
          <w:szCs w:val="24"/>
        </w:rPr>
        <w:endnoteRef/>
      </w:r>
      <w:r w:rsidRPr="00F61549">
        <w:rPr>
          <w:sz w:val="24"/>
          <w:szCs w:val="24"/>
        </w:rPr>
        <w:t xml:space="preserve"> </w:t>
      </w:r>
      <w:proofErr w:type="spellStart"/>
      <w:r w:rsidRPr="00F61549">
        <w:rPr>
          <w:sz w:val="24"/>
          <w:szCs w:val="24"/>
        </w:rPr>
        <w:t>Schep</w:t>
      </w:r>
      <w:proofErr w:type="spellEnd"/>
      <w:r w:rsidRPr="00F61549">
        <w:rPr>
          <w:sz w:val="24"/>
          <w:szCs w:val="24"/>
        </w:rPr>
        <w:t>, L. J., Slaughter, R. J., &amp; Beasley, D. M. G. (2009). Nicotinic plant poisoning. </w:t>
      </w:r>
      <w:r w:rsidRPr="00F61549">
        <w:rPr>
          <w:i/>
          <w:iCs/>
          <w:sz w:val="24"/>
          <w:szCs w:val="24"/>
        </w:rPr>
        <w:t>Clinical Toxicology</w:t>
      </w:r>
      <w:r w:rsidRPr="00F61549">
        <w:rPr>
          <w:sz w:val="24"/>
          <w:szCs w:val="24"/>
        </w:rPr>
        <w:t>, </w:t>
      </w:r>
      <w:r w:rsidRPr="00F61549">
        <w:rPr>
          <w:i/>
          <w:iCs/>
          <w:sz w:val="24"/>
          <w:szCs w:val="24"/>
        </w:rPr>
        <w:t>47</w:t>
      </w:r>
      <w:r w:rsidRPr="00F61549">
        <w:rPr>
          <w:sz w:val="24"/>
          <w:szCs w:val="24"/>
        </w:rPr>
        <w:t>(8), 771–781. https://doi.org/10.1080/15563650903252186</w:t>
      </w:r>
    </w:p>
  </w:endnote>
  <w:endnote w:id="10">
    <w:p w14:paraId="687D1C4A" w14:textId="77777777" w:rsidR="00BD5965" w:rsidRPr="00F61549" w:rsidRDefault="00BD5965" w:rsidP="00B63D65">
      <w:pPr>
        <w:pStyle w:val="Textonotaalfinal"/>
        <w:rPr>
          <w:sz w:val="24"/>
          <w:szCs w:val="24"/>
        </w:rPr>
      </w:pPr>
      <w:r w:rsidRPr="00F61549">
        <w:rPr>
          <w:rStyle w:val="Refdenotaalfinal"/>
          <w:sz w:val="24"/>
          <w:szCs w:val="24"/>
        </w:rPr>
        <w:endnoteRef/>
      </w:r>
      <w:r w:rsidRPr="00F61549">
        <w:rPr>
          <w:sz w:val="24"/>
          <w:szCs w:val="24"/>
        </w:rPr>
        <w:t xml:space="preserve"> Blakney, Aaron M. et </w:t>
      </w:r>
      <w:proofErr w:type="spellStart"/>
      <w:proofErr w:type="gramStart"/>
      <w:r w:rsidRPr="00F61549">
        <w:rPr>
          <w:sz w:val="24"/>
          <w:szCs w:val="24"/>
        </w:rPr>
        <w:t>al.ENDS</w:t>
      </w:r>
      <w:proofErr w:type="spellEnd"/>
      <w:proofErr w:type="gramEnd"/>
      <w:r w:rsidRPr="00F61549">
        <w:rPr>
          <w:sz w:val="24"/>
          <w:szCs w:val="24"/>
        </w:rPr>
        <w:t xml:space="preserve"> Liquid Nicotine Exposure in Children Aged &lt;5 Years Presenting to U.S. Emergency Departments, 2019–2024 American Journal of Preventive Medicine, Volume 70, Issue 4, 108189</w:t>
      </w:r>
    </w:p>
  </w:endnote>
  <w:endnote w:id="11">
    <w:p w14:paraId="22B32929" w14:textId="77777777" w:rsidR="00BD5965" w:rsidRPr="00F61549" w:rsidRDefault="00BD5965" w:rsidP="00B63D65">
      <w:pPr>
        <w:pStyle w:val="Textonotaalfinal"/>
        <w:rPr>
          <w:sz w:val="24"/>
          <w:szCs w:val="24"/>
        </w:rPr>
      </w:pPr>
      <w:r w:rsidRPr="00F61549">
        <w:rPr>
          <w:rStyle w:val="Refdenotaalfinal"/>
          <w:sz w:val="24"/>
          <w:szCs w:val="24"/>
        </w:rPr>
        <w:endnoteRef/>
      </w:r>
      <w:r w:rsidRPr="00F61549">
        <w:rPr>
          <w:sz w:val="24"/>
          <w:szCs w:val="24"/>
        </w:rPr>
        <w:t xml:space="preserve"> Seo AD, Kim DC, Yu HJ, Kang MJ. Accidental ingestion of E-cigarette liquid nicotine in a 15-month-old child: an infant mortality case of nicotine intoxication. Korean J Pediatr. 2016 Dec;59(12):490-493. </w:t>
      </w:r>
      <w:proofErr w:type="spellStart"/>
      <w:r w:rsidRPr="00F61549">
        <w:rPr>
          <w:sz w:val="24"/>
          <w:szCs w:val="24"/>
        </w:rPr>
        <w:t>doi</w:t>
      </w:r>
      <w:proofErr w:type="spellEnd"/>
      <w:r w:rsidRPr="00F61549">
        <w:rPr>
          <w:sz w:val="24"/>
          <w:szCs w:val="24"/>
        </w:rPr>
        <w:t xml:space="preserve">: 10.3345/kjp.2016.59.12.490. </w:t>
      </w:r>
      <w:proofErr w:type="spellStart"/>
      <w:r w:rsidRPr="00F61549">
        <w:rPr>
          <w:sz w:val="24"/>
          <w:szCs w:val="24"/>
        </w:rPr>
        <w:t>Epub</w:t>
      </w:r>
      <w:proofErr w:type="spellEnd"/>
      <w:r w:rsidRPr="00F61549">
        <w:rPr>
          <w:sz w:val="24"/>
          <w:szCs w:val="24"/>
        </w:rPr>
        <w:t xml:space="preserve"> 2016 Dec 31. PMID: 28194215; PMCID: PMC5300914.</w:t>
      </w:r>
    </w:p>
  </w:endnote>
  <w:endnote w:id="12">
    <w:p w14:paraId="4E3EE169" w14:textId="77777777" w:rsidR="00BD5965" w:rsidRPr="00F61549" w:rsidRDefault="00BD5965" w:rsidP="00B63D65">
      <w:pPr>
        <w:pStyle w:val="Textonotaalfinal"/>
        <w:rPr>
          <w:sz w:val="24"/>
          <w:szCs w:val="24"/>
        </w:rPr>
      </w:pPr>
      <w:r w:rsidRPr="00F61549">
        <w:rPr>
          <w:rStyle w:val="Refdenotaalfinal"/>
          <w:sz w:val="24"/>
          <w:szCs w:val="24"/>
        </w:rPr>
        <w:endnoteRef/>
      </w:r>
      <w:r w:rsidRPr="00F61549">
        <w:rPr>
          <w:sz w:val="24"/>
          <w:szCs w:val="24"/>
        </w:rPr>
        <w:t xml:space="preserve"> </w:t>
      </w:r>
      <w:proofErr w:type="spellStart"/>
      <w:r w:rsidRPr="00F61549">
        <w:rPr>
          <w:sz w:val="24"/>
          <w:szCs w:val="24"/>
        </w:rPr>
        <w:t>Belkoniene</w:t>
      </w:r>
      <w:proofErr w:type="spellEnd"/>
      <w:r w:rsidRPr="00F61549">
        <w:rPr>
          <w:sz w:val="24"/>
          <w:szCs w:val="24"/>
        </w:rPr>
        <w:t xml:space="preserve"> M, </w:t>
      </w:r>
      <w:proofErr w:type="spellStart"/>
      <w:r w:rsidRPr="00F61549">
        <w:rPr>
          <w:sz w:val="24"/>
          <w:szCs w:val="24"/>
        </w:rPr>
        <w:t>Socquet</w:t>
      </w:r>
      <w:proofErr w:type="spellEnd"/>
      <w:r w:rsidRPr="00F61549">
        <w:rPr>
          <w:sz w:val="24"/>
          <w:szCs w:val="24"/>
        </w:rPr>
        <w:t xml:space="preserve"> J, </w:t>
      </w:r>
      <w:proofErr w:type="spellStart"/>
      <w:r w:rsidRPr="00F61549">
        <w:rPr>
          <w:sz w:val="24"/>
          <w:szCs w:val="24"/>
        </w:rPr>
        <w:t>Njemba-Freiburghaus</w:t>
      </w:r>
      <w:proofErr w:type="spellEnd"/>
      <w:r w:rsidRPr="00F61549">
        <w:rPr>
          <w:sz w:val="24"/>
          <w:szCs w:val="24"/>
        </w:rPr>
        <w:t xml:space="preserve"> D, </w:t>
      </w:r>
      <w:proofErr w:type="spellStart"/>
      <w:r w:rsidRPr="00F61549">
        <w:rPr>
          <w:sz w:val="24"/>
          <w:szCs w:val="24"/>
        </w:rPr>
        <w:t>Pellaton</w:t>
      </w:r>
      <w:proofErr w:type="spellEnd"/>
      <w:r w:rsidRPr="00F61549">
        <w:rPr>
          <w:sz w:val="24"/>
          <w:szCs w:val="24"/>
        </w:rPr>
        <w:t xml:space="preserve"> C. Near fatal intoxication by nicotine and propylene glycol injection: a case report of an e-liquid poisoning. BMC </w:t>
      </w:r>
      <w:proofErr w:type="spellStart"/>
      <w:r w:rsidRPr="00F61549">
        <w:rPr>
          <w:sz w:val="24"/>
          <w:szCs w:val="24"/>
        </w:rPr>
        <w:t>Pharmacol</w:t>
      </w:r>
      <w:proofErr w:type="spellEnd"/>
      <w:r w:rsidRPr="00F61549">
        <w:rPr>
          <w:sz w:val="24"/>
          <w:szCs w:val="24"/>
        </w:rPr>
        <w:t xml:space="preserve"> </w:t>
      </w:r>
      <w:proofErr w:type="spellStart"/>
      <w:r w:rsidRPr="00F61549">
        <w:rPr>
          <w:sz w:val="24"/>
          <w:szCs w:val="24"/>
        </w:rPr>
        <w:t>Toxicol</w:t>
      </w:r>
      <w:proofErr w:type="spellEnd"/>
      <w:r w:rsidRPr="00F61549">
        <w:rPr>
          <w:sz w:val="24"/>
          <w:szCs w:val="24"/>
        </w:rPr>
        <w:t xml:space="preserve">. 2019 May 10;20(1):28. </w:t>
      </w:r>
      <w:proofErr w:type="spellStart"/>
      <w:r w:rsidRPr="00F61549">
        <w:rPr>
          <w:sz w:val="24"/>
          <w:szCs w:val="24"/>
        </w:rPr>
        <w:t>doi</w:t>
      </w:r>
      <w:proofErr w:type="spellEnd"/>
      <w:r w:rsidRPr="00F61549">
        <w:rPr>
          <w:sz w:val="24"/>
          <w:szCs w:val="24"/>
        </w:rPr>
        <w:t>: 10.1186/s40360-019-0296-8. PMID: 31077262; PMCID: PMC6511216.</w:t>
      </w:r>
    </w:p>
  </w:endnote>
  <w:endnote w:id="13">
    <w:p w14:paraId="5D5A58FA" w14:textId="77777777" w:rsidR="00BD5965" w:rsidRPr="00F61549" w:rsidRDefault="00BD5965" w:rsidP="00B63D65">
      <w:pPr>
        <w:pStyle w:val="Textonotaalfinal"/>
        <w:rPr>
          <w:sz w:val="24"/>
          <w:szCs w:val="24"/>
        </w:rPr>
      </w:pPr>
      <w:r w:rsidRPr="00F61549">
        <w:rPr>
          <w:rStyle w:val="Refdenotaalfinal"/>
          <w:sz w:val="24"/>
          <w:szCs w:val="24"/>
        </w:rPr>
        <w:endnoteRef/>
      </w:r>
      <w:r w:rsidRPr="00F61549">
        <w:rPr>
          <w:sz w:val="24"/>
          <w:szCs w:val="24"/>
        </w:rPr>
        <w:t xml:space="preserve"> Bassett RA, Osterhoudt K, Brabazon T. Nicotine poisoning in an infant. N Engl J Med. 2014 Jun 5;370(23):2249-50. </w:t>
      </w:r>
      <w:proofErr w:type="spellStart"/>
      <w:r w:rsidRPr="00F61549">
        <w:rPr>
          <w:sz w:val="24"/>
          <w:szCs w:val="24"/>
        </w:rPr>
        <w:t>doi</w:t>
      </w:r>
      <w:proofErr w:type="spellEnd"/>
      <w:r w:rsidRPr="00F61549">
        <w:rPr>
          <w:sz w:val="24"/>
          <w:szCs w:val="24"/>
        </w:rPr>
        <w:t xml:space="preserve">: 10.1056/NEJMc1403843. </w:t>
      </w:r>
      <w:proofErr w:type="spellStart"/>
      <w:r w:rsidRPr="00F61549">
        <w:rPr>
          <w:sz w:val="24"/>
          <w:szCs w:val="24"/>
        </w:rPr>
        <w:t>Epub</w:t>
      </w:r>
      <w:proofErr w:type="spellEnd"/>
      <w:r w:rsidRPr="00F61549">
        <w:rPr>
          <w:sz w:val="24"/>
          <w:szCs w:val="24"/>
        </w:rPr>
        <w:t xml:space="preserve"> 2014 May 7. PMID: 24805985.</w:t>
      </w:r>
    </w:p>
  </w:endnote>
  <w:endnote w:id="14">
    <w:p w14:paraId="5EEB0741" w14:textId="77777777" w:rsidR="00BD5965" w:rsidRPr="00F61549" w:rsidRDefault="00BD5965" w:rsidP="008A292F">
      <w:pPr>
        <w:pStyle w:val="Textonotaalfinal"/>
        <w:rPr>
          <w:sz w:val="24"/>
          <w:szCs w:val="24"/>
          <w:lang w:val="es-AR"/>
        </w:rPr>
      </w:pPr>
      <w:r w:rsidRPr="00F61549">
        <w:rPr>
          <w:rStyle w:val="Refdenotaalfinal"/>
          <w:sz w:val="24"/>
          <w:szCs w:val="24"/>
        </w:rPr>
        <w:endnoteRef/>
      </w:r>
      <w:r w:rsidRPr="00F61549">
        <w:rPr>
          <w:sz w:val="24"/>
          <w:szCs w:val="24"/>
        </w:rPr>
        <w:t xml:space="preserve"> INCHEM. International </w:t>
      </w:r>
      <w:proofErr w:type="spellStart"/>
      <w:r w:rsidRPr="00F61549">
        <w:rPr>
          <w:sz w:val="24"/>
          <w:szCs w:val="24"/>
        </w:rPr>
        <w:t>Programme</w:t>
      </w:r>
      <w:proofErr w:type="spellEnd"/>
      <w:r w:rsidRPr="00F61549">
        <w:rPr>
          <w:sz w:val="24"/>
          <w:szCs w:val="24"/>
        </w:rPr>
        <w:t xml:space="preserve"> on Chemical Safety (IPCS). </w:t>
      </w:r>
      <w:proofErr w:type="spellStart"/>
      <w:r w:rsidRPr="00F61549">
        <w:rPr>
          <w:sz w:val="24"/>
          <w:szCs w:val="24"/>
          <w:lang w:val="es-AR"/>
        </w:rPr>
        <w:t>Nicotiana</w:t>
      </w:r>
      <w:proofErr w:type="spellEnd"/>
      <w:r w:rsidRPr="00F61549">
        <w:rPr>
          <w:sz w:val="24"/>
          <w:szCs w:val="24"/>
          <w:lang w:val="es-AR"/>
        </w:rPr>
        <w:t xml:space="preserve"> </w:t>
      </w:r>
      <w:proofErr w:type="spellStart"/>
      <w:r w:rsidRPr="00F61549">
        <w:rPr>
          <w:sz w:val="24"/>
          <w:szCs w:val="24"/>
          <w:lang w:val="es-AR"/>
        </w:rPr>
        <w:t>tabacum</w:t>
      </w:r>
      <w:proofErr w:type="spellEnd"/>
      <w:r w:rsidRPr="00F61549">
        <w:rPr>
          <w:sz w:val="24"/>
          <w:szCs w:val="24"/>
          <w:lang w:val="es-AR"/>
        </w:rPr>
        <w:t xml:space="preserve"> L. </w:t>
      </w:r>
      <w:hyperlink r:id="rId6" w:history="1">
        <w:r w:rsidRPr="00F61549">
          <w:rPr>
            <w:rStyle w:val="Hipervnculo"/>
            <w:sz w:val="24"/>
            <w:szCs w:val="24"/>
            <w:lang w:val="es-AR"/>
          </w:rPr>
          <w:t>https://www.inchem.org/documents/pims/plant/nicotab.htm</w:t>
        </w:r>
      </w:hyperlink>
      <w:r w:rsidRPr="00F61549">
        <w:rPr>
          <w:sz w:val="24"/>
          <w:szCs w:val="24"/>
          <w:lang w:val="es-AR"/>
        </w:rPr>
        <w:t xml:space="preserve"> </w:t>
      </w:r>
    </w:p>
  </w:endnote>
  <w:endnote w:id="15">
    <w:p w14:paraId="4078A18F" w14:textId="77777777" w:rsidR="00BD5965" w:rsidRPr="00F61549" w:rsidRDefault="00BD5965" w:rsidP="00345BC6">
      <w:pPr>
        <w:pStyle w:val="Textonotaalfinal"/>
        <w:rPr>
          <w:sz w:val="24"/>
          <w:szCs w:val="24"/>
        </w:rPr>
      </w:pPr>
      <w:r w:rsidRPr="00F61549">
        <w:rPr>
          <w:rStyle w:val="Refdenotaalfinal"/>
          <w:sz w:val="24"/>
          <w:szCs w:val="24"/>
        </w:rPr>
        <w:endnoteRef/>
      </w:r>
      <w:r w:rsidRPr="00F61549">
        <w:rPr>
          <w:sz w:val="24"/>
          <w:szCs w:val="24"/>
        </w:rPr>
        <w:t xml:space="preserve"> CDC. The National Institute for Occupational Safety and Health (NIOSH). Nicotine. Disponible </w:t>
      </w:r>
      <w:proofErr w:type="spellStart"/>
      <w:r w:rsidRPr="00F61549">
        <w:rPr>
          <w:sz w:val="24"/>
          <w:szCs w:val="24"/>
        </w:rPr>
        <w:t>en</w:t>
      </w:r>
      <w:proofErr w:type="spellEnd"/>
      <w:r w:rsidRPr="00F61549">
        <w:rPr>
          <w:sz w:val="24"/>
          <w:szCs w:val="24"/>
        </w:rPr>
        <w:t xml:space="preserve">: </w:t>
      </w:r>
      <w:hyperlink r:id="rId7" w:history="1">
        <w:r w:rsidRPr="00F61549">
          <w:rPr>
            <w:rStyle w:val="Hipervnculo"/>
            <w:sz w:val="24"/>
            <w:szCs w:val="24"/>
          </w:rPr>
          <w:t>https://www.cdc.gov/niosh/idlh/54115.html</w:t>
        </w:r>
      </w:hyperlink>
    </w:p>
  </w:endnote>
  <w:endnote w:id="16">
    <w:p w14:paraId="0E8FBA1E" w14:textId="44527476" w:rsidR="00BD5965" w:rsidRPr="00F61549" w:rsidRDefault="00BD5965" w:rsidP="006C7AD7">
      <w:pPr>
        <w:pStyle w:val="Textonotaalfinal"/>
        <w:rPr>
          <w:sz w:val="24"/>
          <w:szCs w:val="24"/>
          <w:lang w:val="es-AR"/>
        </w:rPr>
      </w:pPr>
      <w:r w:rsidRPr="00F61549">
        <w:rPr>
          <w:rStyle w:val="Refdenotaalfinal"/>
          <w:sz w:val="24"/>
          <w:szCs w:val="24"/>
        </w:rPr>
        <w:endnoteRef/>
      </w:r>
      <w:r w:rsidRPr="00F61549">
        <w:rPr>
          <w:sz w:val="24"/>
          <w:szCs w:val="24"/>
        </w:rPr>
        <w:t xml:space="preserve"> </w:t>
      </w:r>
      <w:r w:rsidRPr="00F61549">
        <w:rPr>
          <w:sz w:val="24"/>
          <w:szCs w:val="24"/>
        </w:rPr>
        <w:t>ENVIRONMENTAL PROTECTION</w:t>
      </w:r>
      <w:r w:rsidRPr="00F61549">
        <w:rPr>
          <w:sz w:val="24"/>
          <w:szCs w:val="24"/>
        </w:rPr>
        <w:t xml:space="preserve"> </w:t>
      </w:r>
      <w:r w:rsidRPr="00F61549">
        <w:rPr>
          <w:sz w:val="24"/>
          <w:szCs w:val="24"/>
        </w:rPr>
        <w:t>AGENCY</w:t>
      </w:r>
      <w:r w:rsidRPr="00F61549">
        <w:rPr>
          <w:sz w:val="24"/>
          <w:szCs w:val="24"/>
        </w:rPr>
        <w:t xml:space="preserve"> </w:t>
      </w:r>
      <w:r w:rsidRPr="00F61549">
        <w:rPr>
          <w:sz w:val="24"/>
          <w:szCs w:val="24"/>
        </w:rPr>
        <w:t>[EPA–HQ–OPP–2007–1019; FRL–8414–5] Nicotine; Product Cancellation Order</w:t>
      </w:r>
      <w:r w:rsidRPr="00F61549">
        <w:rPr>
          <w:sz w:val="24"/>
          <w:szCs w:val="24"/>
        </w:rPr>
        <w:t xml:space="preserve"> </w:t>
      </w:r>
      <w:r w:rsidRPr="00F61549">
        <w:rPr>
          <w:sz w:val="24"/>
          <w:szCs w:val="24"/>
        </w:rPr>
        <w:t>Federal Register / Vol. 74, No. 105 / Wednesday, June 3, 2009 / Notices</w:t>
      </w:r>
      <w:r w:rsidRPr="00F61549">
        <w:rPr>
          <w:sz w:val="24"/>
          <w:szCs w:val="24"/>
        </w:rPr>
        <w:t xml:space="preserve">. </w:t>
      </w:r>
      <w:r w:rsidRPr="00F61549">
        <w:rPr>
          <w:sz w:val="24"/>
          <w:szCs w:val="24"/>
          <w:lang w:val="es-AR"/>
        </w:rPr>
        <w:t xml:space="preserve">Disponible en: </w:t>
      </w:r>
      <w:hyperlink r:id="rId8" w:history="1">
        <w:r w:rsidRPr="00F61549">
          <w:rPr>
            <w:rStyle w:val="Hipervnculo"/>
            <w:sz w:val="24"/>
            <w:szCs w:val="24"/>
            <w:lang w:val="es-AR"/>
          </w:rPr>
          <w:t>https://www3.epa.gov/pesticides/chem_search/reg_actions/reregistration/frn_PC-056702_3-Jun-09.pdf</w:t>
        </w:r>
      </w:hyperlink>
      <w:r w:rsidRPr="00F61549">
        <w:rPr>
          <w:sz w:val="24"/>
          <w:szCs w:val="24"/>
          <w:lang w:val="es-AR"/>
        </w:rPr>
        <w:t xml:space="preserve"> </w:t>
      </w:r>
    </w:p>
  </w:endnote>
  <w:endnote w:id="17">
    <w:p w14:paraId="4BDD823A" w14:textId="77777777" w:rsidR="00BD5965" w:rsidRPr="00F61549" w:rsidRDefault="00BD5965" w:rsidP="00DC6677">
      <w:pPr>
        <w:pStyle w:val="Textonotaalfinal"/>
        <w:rPr>
          <w:sz w:val="24"/>
          <w:szCs w:val="24"/>
        </w:rPr>
      </w:pPr>
      <w:r w:rsidRPr="00F61549">
        <w:rPr>
          <w:rStyle w:val="Refdenotaalfinal"/>
          <w:sz w:val="24"/>
          <w:szCs w:val="24"/>
        </w:rPr>
        <w:endnoteRef/>
      </w:r>
      <w:r w:rsidRPr="00F61549">
        <w:rPr>
          <w:sz w:val="24"/>
          <w:szCs w:val="24"/>
        </w:rPr>
        <w:t xml:space="preserve"> Wigmore James G. Nicotine: The Neglected Forensic Drug. Forensic Science Review Volume Thirty-Seven Number One January 2025 (</w:t>
      </w:r>
      <w:hyperlink r:id="rId9" w:history="1">
        <w:r w:rsidRPr="00F61549">
          <w:rPr>
            <w:rStyle w:val="Hipervnculo"/>
            <w:sz w:val="24"/>
            <w:szCs w:val="24"/>
          </w:rPr>
          <w:t>www.forensicsciencereview.com</w:t>
        </w:r>
      </w:hyperlink>
      <w:r w:rsidRPr="00F61549">
        <w:rPr>
          <w:sz w:val="24"/>
          <w:szCs w:val="24"/>
        </w:rPr>
        <w:t xml:space="preserve">) </w:t>
      </w:r>
    </w:p>
  </w:endnote>
  <w:endnote w:id="18">
    <w:p w14:paraId="38A59E12" w14:textId="77777777" w:rsidR="00BD5965" w:rsidRPr="00F61549" w:rsidRDefault="00BD5965" w:rsidP="00396357">
      <w:pPr>
        <w:pStyle w:val="Textonotaalfinal"/>
        <w:rPr>
          <w:sz w:val="24"/>
          <w:szCs w:val="24"/>
          <w:lang w:val="es-AR"/>
        </w:rPr>
      </w:pPr>
      <w:r w:rsidRPr="00F61549">
        <w:rPr>
          <w:rStyle w:val="Refdenotaalfinal"/>
          <w:sz w:val="24"/>
          <w:szCs w:val="24"/>
        </w:rPr>
        <w:endnoteRef/>
      </w:r>
      <w:r w:rsidRPr="00F61549">
        <w:rPr>
          <w:sz w:val="24"/>
          <w:szCs w:val="24"/>
          <w:lang w:val="es-AR"/>
        </w:rPr>
        <w:t xml:space="preserve"> SEDRONAR. Séptimo Estudio Nacional sobre Consumo de Sustancias Psicoactivas en Estudiantes de Enseñanza Secundaria, 2025</w:t>
      </w:r>
    </w:p>
  </w:endnote>
  <w:endnote w:id="19">
    <w:p w14:paraId="0CC0E437" w14:textId="77777777" w:rsidR="00BD5965" w:rsidRPr="00F61549" w:rsidRDefault="00BD5965" w:rsidP="00AF6410">
      <w:pPr>
        <w:pStyle w:val="Textonotaalfinal"/>
        <w:rPr>
          <w:sz w:val="24"/>
          <w:szCs w:val="24"/>
        </w:rPr>
      </w:pPr>
      <w:r w:rsidRPr="00F61549">
        <w:rPr>
          <w:rStyle w:val="Refdenotaalfinal"/>
          <w:sz w:val="24"/>
          <w:szCs w:val="24"/>
        </w:rPr>
        <w:endnoteRef/>
      </w:r>
      <w:r w:rsidRPr="00F61549">
        <w:rPr>
          <w:sz w:val="24"/>
          <w:szCs w:val="24"/>
        </w:rPr>
        <w:t xml:space="preserve"> Miyauchi M, Hayashida M, Hirata K, Hirata K, Yokota H. Gastric lavage guided by ultrathin </w:t>
      </w:r>
      <w:proofErr w:type="spellStart"/>
      <w:r w:rsidRPr="00F61549">
        <w:rPr>
          <w:sz w:val="24"/>
          <w:szCs w:val="24"/>
        </w:rPr>
        <w:t>transnasal</w:t>
      </w:r>
      <w:proofErr w:type="spellEnd"/>
      <w:r w:rsidRPr="00F61549">
        <w:rPr>
          <w:sz w:val="24"/>
          <w:szCs w:val="24"/>
        </w:rPr>
        <w:t xml:space="preserve"> esophagogastroduodenoscopy in a life-threatening case of tobacco extract poisoning: a case report. J Nippon Med Sch. 2013;80(4):307-11. </w:t>
      </w:r>
      <w:proofErr w:type="spellStart"/>
      <w:r w:rsidRPr="00F61549">
        <w:rPr>
          <w:sz w:val="24"/>
          <w:szCs w:val="24"/>
        </w:rPr>
        <w:t>doi</w:t>
      </w:r>
      <w:proofErr w:type="spellEnd"/>
      <w:r w:rsidRPr="00F61549">
        <w:rPr>
          <w:sz w:val="24"/>
          <w:szCs w:val="24"/>
        </w:rPr>
        <w:t>: 10.1272/jnms.80.307. PMID: 23995574.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432398"/>
      <w:docPartObj>
        <w:docPartGallery w:val="Page Numbers (Bottom of Page)"/>
        <w:docPartUnique/>
      </w:docPartObj>
    </w:sdtPr>
    <w:sdtEndPr/>
    <w:sdtContent>
      <w:p w14:paraId="4E5FAFE1" w14:textId="264E0C41" w:rsidR="00621F3D" w:rsidRDefault="00621F3D">
        <w:pPr>
          <w:pStyle w:val="Piedepgina"/>
          <w:jc w:val="center"/>
        </w:pPr>
        <w:r>
          <w:fldChar w:fldCharType="begin"/>
        </w:r>
        <w:r>
          <w:instrText>PAGE   \* MERGEFORMAT</w:instrText>
        </w:r>
        <w:r>
          <w:fldChar w:fldCharType="separate"/>
        </w:r>
        <w:r>
          <w:rPr>
            <w:lang w:val="es-MX"/>
          </w:rPr>
          <w:t>2</w:t>
        </w:r>
        <w:r>
          <w:fldChar w:fldCharType="end"/>
        </w:r>
      </w:p>
    </w:sdtContent>
  </w:sdt>
  <w:p w14:paraId="5481D9EC" w14:textId="77777777" w:rsidR="00621F3D" w:rsidRDefault="00621F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D0D84" w14:textId="77777777" w:rsidR="008C14B6" w:rsidRDefault="008C14B6" w:rsidP="00B55CAD">
      <w:pPr>
        <w:spacing w:after="0" w:line="240" w:lineRule="auto"/>
      </w:pPr>
      <w:r>
        <w:separator/>
      </w:r>
    </w:p>
  </w:footnote>
  <w:footnote w:type="continuationSeparator" w:id="0">
    <w:p w14:paraId="3DFBDCBD" w14:textId="77777777" w:rsidR="008C14B6" w:rsidRDefault="008C14B6" w:rsidP="00B55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72FE6"/>
    <w:multiLevelType w:val="multilevel"/>
    <w:tmpl w:val="6E74C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5A0068"/>
    <w:multiLevelType w:val="multilevel"/>
    <w:tmpl w:val="AA589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5993070">
    <w:abstractNumId w:val="1"/>
  </w:num>
  <w:num w:numId="2" w16cid:durableId="1364940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903"/>
    <w:rsid w:val="000020FA"/>
    <w:rsid w:val="00040E0B"/>
    <w:rsid w:val="000849CB"/>
    <w:rsid w:val="00093E19"/>
    <w:rsid w:val="000F0C5C"/>
    <w:rsid w:val="000F2BF4"/>
    <w:rsid w:val="00102321"/>
    <w:rsid w:val="00170A78"/>
    <w:rsid w:val="00185D89"/>
    <w:rsid w:val="001D6161"/>
    <w:rsid w:val="00233C8C"/>
    <w:rsid w:val="002B514C"/>
    <w:rsid w:val="002D1BAA"/>
    <w:rsid w:val="002E27F5"/>
    <w:rsid w:val="002F68E2"/>
    <w:rsid w:val="00345BC6"/>
    <w:rsid w:val="00350F38"/>
    <w:rsid w:val="00360A4E"/>
    <w:rsid w:val="00396357"/>
    <w:rsid w:val="00407AC0"/>
    <w:rsid w:val="0042574A"/>
    <w:rsid w:val="00426C71"/>
    <w:rsid w:val="00430F84"/>
    <w:rsid w:val="00442E78"/>
    <w:rsid w:val="00456E85"/>
    <w:rsid w:val="004E1650"/>
    <w:rsid w:val="00566302"/>
    <w:rsid w:val="00567BE1"/>
    <w:rsid w:val="00587EE4"/>
    <w:rsid w:val="005A6BB7"/>
    <w:rsid w:val="00621F3D"/>
    <w:rsid w:val="006625AE"/>
    <w:rsid w:val="006C7AD7"/>
    <w:rsid w:val="006D4E03"/>
    <w:rsid w:val="00782374"/>
    <w:rsid w:val="007A4A0D"/>
    <w:rsid w:val="007C51B4"/>
    <w:rsid w:val="007D2879"/>
    <w:rsid w:val="007E6050"/>
    <w:rsid w:val="007F62FE"/>
    <w:rsid w:val="007F7F45"/>
    <w:rsid w:val="00834109"/>
    <w:rsid w:val="008664A2"/>
    <w:rsid w:val="008822B4"/>
    <w:rsid w:val="008A292F"/>
    <w:rsid w:val="008B65B3"/>
    <w:rsid w:val="008C14B6"/>
    <w:rsid w:val="008C5913"/>
    <w:rsid w:val="00901B09"/>
    <w:rsid w:val="009344DE"/>
    <w:rsid w:val="009459CC"/>
    <w:rsid w:val="00956CDA"/>
    <w:rsid w:val="0099547C"/>
    <w:rsid w:val="009D3449"/>
    <w:rsid w:val="00A743AE"/>
    <w:rsid w:val="00A865A2"/>
    <w:rsid w:val="00A9429F"/>
    <w:rsid w:val="00AB0F72"/>
    <w:rsid w:val="00AF6410"/>
    <w:rsid w:val="00B55CAD"/>
    <w:rsid w:val="00B63D65"/>
    <w:rsid w:val="00B909E1"/>
    <w:rsid w:val="00BA4C9E"/>
    <w:rsid w:val="00BD5965"/>
    <w:rsid w:val="00CB6405"/>
    <w:rsid w:val="00CD457F"/>
    <w:rsid w:val="00D72D46"/>
    <w:rsid w:val="00DC5618"/>
    <w:rsid w:val="00DC6677"/>
    <w:rsid w:val="00DD40E3"/>
    <w:rsid w:val="00E0375A"/>
    <w:rsid w:val="00E14A09"/>
    <w:rsid w:val="00E315EB"/>
    <w:rsid w:val="00E770CB"/>
    <w:rsid w:val="00EA0A99"/>
    <w:rsid w:val="00EA4903"/>
    <w:rsid w:val="00EE1C2C"/>
    <w:rsid w:val="00F102E3"/>
    <w:rsid w:val="00F138FF"/>
    <w:rsid w:val="00F407CF"/>
    <w:rsid w:val="00F42666"/>
    <w:rsid w:val="00F5589B"/>
    <w:rsid w:val="00F61549"/>
    <w:rsid w:val="00F66B6E"/>
    <w:rsid w:val="00F809B3"/>
    <w:rsid w:val="00F93C60"/>
    <w:rsid w:val="00FB6223"/>
    <w:rsid w:val="00FC0867"/>
    <w:rsid w:val="00FC128F"/>
    <w:rsid w:val="00FC5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A026F"/>
  <w15:chartTrackingRefBased/>
  <w15:docId w15:val="{FA70BA9A-F43E-4D83-BF62-25518DB8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49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A49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A490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A490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A490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A490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A490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A490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A490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490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A490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A490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A490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A490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A490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A490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A490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A4903"/>
    <w:rPr>
      <w:rFonts w:eastAsiaTheme="majorEastAsia" w:cstheme="majorBidi"/>
      <w:color w:val="272727" w:themeColor="text1" w:themeTint="D8"/>
    </w:rPr>
  </w:style>
  <w:style w:type="paragraph" w:styleId="Ttulo">
    <w:name w:val="Title"/>
    <w:basedOn w:val="Normal"/>
    <w:next w:val="Normal"/>
    <w:link w:val="TtuloCar"/>
    <w:uiPriority w:val="10"/>
    <w:qFormat/>
    <w:rsid w:val="00EA49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A49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A490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A49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A4903"/>
    <w:pPr>
      <w:spacing w:before="160"/>
      <w:jc w:val="center"/>
    </w:pPr>
    <w:rPr>
      <w:i/>
      <w:iCs/>
      <w:color w:val="404040" w:themeColor="text1" w:themeTint="BF"/>
    </w:rPr>
  </w:style>
  <w:style w:type="character" w:customStyle="1" w:styleId="CitaCar">
    <w:name w:val="Cita Car"/>
    <w:basedOn w:val="Fuentedeprrafopredeter"/>
    <w:link w:val="Cita"/>
    <w:uiPriority w:val="29"/>
    <w:rsid w:val="00EA4903"/>
    <w:rPr>
      <w:i/>
      <w:iCs/>
      <w:color w:val="404040" w:themeColor="text1" w:themeTint="BF"/>
    </w:rPr>
  </w:style>
  <w:style w:type="paragraph" w:styleId="Prrafodelista">
    <w:name w:val="List Paragraph"/>
    <w:basedOn w:val="Normal"/>
    <w:uiPriority w:val="34"/>
    <w:qFormat/>
    <w:rsid w:val="00EA4903"/>
    <w:pPr>
      <w:ind w:left="720"/>
      <w:contextualSpacing/>
    </w:pPr>
  </w:style>
  <w:style w:type="character" w:styleId="nfasisintenso">
    <w:name w:val="Intense Emphasis"/>
    <w:basedOn w:val="Fuentedeprrafopredeter"/>
    <w:uiPriority w:val="21"/>
    <w:qFormat/>
    <w:rsid w:val="00EA4903"/>
    <w:rPr>
      <w:i/>
      <w:iCs/>
      <w:color w:val="0F4761" w:themeColor="accent1" w:themeShade="BF"/>
    </w:rPr>
  </w:style>
  <w:style w:type="paragraph" w:styleId="Citadestacada">
    <w:name w:val="Intense Quote"/>
    <w:basedOn w:val="Normal"/>
    <w:next w:val="Normal"/>
    <w:link w:val="CitadestacadaCar"/>
    <w:uiPriority w:val="30"/>
    <w:qFormat/>
    <w:rsid w:val="00EA49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A4903"/>
    <w:rPr>
      <w:i/>
      <w:iCs/>
      <w:color w:val="0F4761" w:themeColor="accent1" w:themeShade="BF"/>
    </w:rPr>
  </w:style>
  <w:style w:type="character" w:styleId="Referenciaintensa">
    <w:name w:val="Intense Reference"/>
    <w:basedOn w:val="Fuentedeprrafopredeter"/>
    <w:uiPriority w:val="32"/>
    <w:qFormat/>
    <w:rsid w:val="00EA4903"/>
    <w:rPr>
      <w:b/>
      <w:bCs/>
      <w:smallCaps/>
      <w:color w:val="0F4761" w:themeColor="accent1" w:themeShade="BF"/>
      <w:spacing w:val="5"/>
    </w:rPr>
  </w:style>
  <w:style w:type="character" w:styleId="Hipervnculo">
    <w:name w:val="Hyperlink"/>
    <w:basedOn w:val="Fuentedeprrafopredeter"/>
    <w:uiPriority w:val="99"/>
    <w:unhideWhenUsed/>
    <w:rsid w:val="00EA4903"/>
    <w:rPr>
      <w:color w:val="467886" w:themeColor="hyperlink"/>
      <w:u w:val="single"/>
    </w:rPr>
  </w:style>
  <w:style w:type="character" w:styleId="Mencinsinresolver">
    <w:name w:val="Unresolved Mention"/>
    <w:basedOn w:val="Fuentedeprrafopredeter"/>
    <w:uiPriority w:val="99"/>
    <w:semiHidden/>
    <w:unhideWhenUsed/>
    <w:rsid w:val="00EA4903"/>
    <w:rPr>
      <w:color w:val="605E5C"/>
      <w:shd w:val="clear" w:color="auto" w:fill="E1DFDD"/>
    </w:rPr>
  </w:style>
  <w:style w:type="paragraph" w:styleId="Textonotapie">
    <w:name w:val="footnote text"/>
    <w:basedOn w:val="Normal"/>
    <w:link w:val="TextonotapieCar"/>
    <w:uiPriority w:val="99"/>
    <w:unhideWhenUsed/>
    <w:rsid w:val="00B55CAD"/>
    <w:pPr>
      <w:spacing w:after="0" w:line="240" w:lineRule="auto"/>
    </w:pPr>
    <w:rPr>
      <w:sz w:val="20"/>
      <w:szCs w:val="20"/>
    </w:rPr>
  </w:style>
  <w:style w:type="character" w:customStyle="1" w:styleId="TextonotapieCar">
    <w:name w:val="Texto nota pie Car"/>
    <w:basedOn w:val="Fuentedeprrafopredeter"/>
    <w:link w:val="Textonotapie"/>
    <w:uiPriority w:val="99"/>
    <w:rsid w:val="00B55CAD"/>
    <w:rPr>
      <w:sz w:val="20"/>
      <w:szCs w:val="20"/>
    </w:rPr>
  </w:style>
  <w:style w:type="character" w:styleId="Refdenotaalpie">
    <w:name w:val="footnote reference"/>
    <w:basedOn w:val="Fuentedeprrafopredeter"/>
    <w:uiPriority w:val="99"/>
    <w:semiHidden/>
    <w:unhideWhenUsed/>
    <w:rsid w:val="00B55CAD"/>
    <w:rPr>
      <w:vertAlign w:val="superscript"/>
    </w:rPr>
  </w:style>
  <w:style w:type="character" w:styleId="Hipervnculovisitado">
    <w:name w:val="FollowedHyperlink"/>
    <w:basedOn w:val="Fuentedeprrafopredeter"/>
    <w:uiPriority w:val="99"/>
    <w:semiHidden/>
    <w:unhideWhenUsed/>
    <w:rsid w:val="009D3449"/>
    <w:rPr>
      <w:color w:val="96607D" w:themeColor="followedHyperlink"/>
      <w:u w:val="single"/>
    </w:rPr>
  </w:style>
  <w:style w:type="paragraph" w:styleId="Encabezado">
    <w:name w:val="header"/>
    <w:basedOn w:val="Normal"/>
    <w:link w:val="EncabezadoCar"/>
    <w:uiPriority w:val="99"/>
    <w:unhideWhenUsed/>
    <w:rsid w:val="00621F3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21F3D"/>
  </w:style>
  <w:style w:type="paragraph" w:styleId="Piedepgina">
    <w:name w:val="footer"/>
    <w:basedOn w:val="Normal"/>
    <w:link w:val="PiedepginaCar"/>
    <w:uiPriority w:val="99"/>
    <w:unhideWhenUsed/>
    <w:rsid w:val="00621F3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21F3D"/>
  </w:style>
  <w:style w:type="paragraph" w:styleId="Textonotaalfinal">
    <w:name w:val="endnote text"/>
    <w:basedOn w:val="Normal"/>
    <w:link w:val="TextonotaalfinalCar"/>
    <w:uiPriority w:val="99"/>
    <w:semiHidden/>
    <w:unhideWhenUsed/>
    <w:rsid w:val="00BD596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D5965"/>
    <w:rPr>
      <w:sz w:val="20"/>
      <w:szCs w:val="20"/>
    </w:rPr>
  </w:style>
  <w:style w:type="character" w:styleId="Refdenotaalfinal">
    <w:name w:val="endnote reference"/>
    <w:basedOn w:val="Fuentedeprrafopredeter"/>
    <w:uiPriority w:val="99"/>
    <w:semiHidden/>
    <w:unhideWhenUsed/>
    <w:rsid w:val="00BD5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entina.gob.ar/salud/hospital-nacional-posadas/intoxicacio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virgolini@yahoo.com.ar" TargetMode="External"/><Relationship Id="rId5" Type="http://schemas.openxmlformats.org/officeDocument/2006/relationships/webSettings" Target="webSettings.xml"/><Relationship Id="rId10" Type="http://schemas.openxmlformats.org/officeDocument/2006/relationships/hyperlink" Target="mailto:uataunionantitabaquica@gmail.com" TargetMode="External"/><Relationship Id="rId4" Type="http://schemas.openxmlformats.org/officeDocument/2006/relationships/settings" Target="settings.xml"/><Relationship Id="rId9" Type="http://schemas.openxmlformats.org/officeDocument/2006/relationships/hyperlink" Target="http://www.UATA.org.ar"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3.epa.gov/pesticides/chem_search/reg_actions/reregistration/frn_PC-056702_3-Jun-09.pdf" TargetMode="External"/><Relationship Id="rId3" Type="http://schemas.openxmlformats.org/officeDocument/2006/relationships/hyperlink" Target="https://doi.org/10.1016/j.toxac.2023.03.040" TargetMode="External"/><Relationship Id="rId7" Type="http://schemas.openxmlformats.org/officeDocument/2006/relationships/hyperlink" Target="https://www.cdc.gov/niosh/idlh/54115.html" TargetMode="External"/><Relationship Id="rId2" Type="http://schemas.openxmlformats.org/officeDocument/2006/relationships/hyperlink" Target="https://nida.nih.gov/es/publicaciones/serie-de-reportes/adiccion-al-tabaco/es-adictiva-la-nicotina" TargetMode="External"/><Relationship Id="rId1" Type="http://schemas.openxmlformats.org/officeDocument/2006/relationships/hyperlink" Target="https://www.tobaccocontrollaws.org/litigation/decisions/united-states-v-philip-morris-usa-6" TargetMode="External"/><Relationship Id="rId6" Type="http://schemas.openxmlformats.org/officeDocument/2006/relationships/hyperlink" Target="https://www.inchem.org/documents/pims/plant/nicotab.htm" TargetMode="External"/><Relationship Id="rId5" Type="http://schemas.openxmlformats.org/officeDocument/2006/relationships/hyperlink" Target="https://pmc.ncbi.nlm.nih.gov/articles/PMC4363846/" TargetMode="External"/><Relationship Id="rId4" Type="http://schemas.openxmlformats.org/officeDocument/2006/relationships/hyperlink" Target="https://www.sciencedirect.com/science/article/pii/S2352007823000586" TargetMode="External"/><Relationship Id="rId9" Type="http://schemas.openxmlformats.org/officeDocument/2006/relationships/hyperlink" Target="http://www.forensicsciencerevie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EA3D1-6BC1-4109-98A2-DCC9B69F0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1224</Words>
  <Characters>6983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Virgolini</dc:creator>
  <cp:keywords/>
  <dc:description/>
  <cp:lastModifiedBy>Mario Virgolini</cp:lastModifiedBy>
  <cp:revision>2</cp:revision>
  <dcterms:created xsi:type="dcterms:W3CDTF">2026-01-28T13:56:00Z</dcterms:created>
  <dcterms:modified xsi:type="dcterms:W3CDTF">2026-01-28T13:56:00Z</dcterms:modified>
</cp:coreProperties>
</file>